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20" w:beforeLines="50" w:after="120" w:afterLines="50" w:line="500" w:lineRule="atLeast"/>
        <w:rPr>
          <w:rFonts w:hint="eastAsia" w:ascii="仿宋_GB2312" w:hAnsi="仿宋_GB2312" w:eastAsia="仿宋_GB2312" w:cs="仿宋_GB2312"/>
          <w:sz w:val="28"/>
          <w:szCs w:val="28"/>
        </w:rPr>
      </w:pPr>
    </w:p>
    <w:p>
      <w:pPr>
        <w:adjustRightInd w:val="0"/>
        <w:snapToGrid w:val="0"/>
        <w:spacing w:before="120" w:beforeLines="50" w:after="120" w:afterLines="50" w:line="500" w:lineRule="atLeast"/>
        <w:rPr>
          <w:rFonts w:hint="eastAsia" w:ascii="仿宋_GB2312" w:hAnsi="仿宋_GB2312" w:eastAsia="仿宋_GB2312" w:cs="仿宋_GB2312"/>
          <w:sz w:val="28"/>
          <w:szCs w:val="28"/>
        </w:rPr>
      </w:pPr>
    </w:p>
    <w:p>
      <w:pPr>
        <w:adjustRightInd w:val="0"/>
        <w:snapToGrid w:val="0"/>
        <w:spacing w:before="120" w:beforeLines="50" w:after="120" w:afterLines="50" w:line="500" w:lineRule="atLeast"/>
        <w:rPr>
          <w:rFonts w:hint="eastAsia" w:ascii="仿宋_GB2312" w:hAnsi="仿宋_GB2312" w:eastAsia="仿宋_GB2312" w:cs="仿宋_GB2312"/>
          <w:sz w:val="28"/>
          <w:szCs w:val="28"/>
        </w:rPr>
      </w:pPr>
    </w:p>
    <w:p>
      <w:pPr>
        <w:adjustRightInd w:val="0"/>
        <w:snapToGrid w:val="0"/>
        <w:spacing w:before="120" w:beforeLines="50" w:after="120" w:afterLines="50" w:line="500" w:lineRule="atLeast"/>
        <w:jc w:val="center"/>
        <w:rPr>
          <w:rFonts w:hint="eastAsia" w:ascii="方正小标宋简体" w:hAnsi="方正小标宋_GBK" w:eastAsia="方正小标宋简体" w:cs="方正小标宋_GBK"/>
          <w:b/>
          <w:bCs/>
          <w:sz w:val="44"/>
          <w:szCs w:val="44"/>
        </w:rPr>
      </w:pPr>
      <w:r>
        <w:rPr>
          <w:rFonts w:hint="eastAsia" w:ascii="方正小标宋简体" w:hAnsi="方正小标宋_GBK" w:eastAsia="方正小标宋简体" w:cs="方正小标宋_GBK"/>
          <w:b/>
          <w:bCs/>
          <w:sz w:val="44"/>
          <w:szCs w:val="44"/>
        </w:rPr>
        <w:t>巴音郭楞蒙古自治州“十五五”文化和旅游</w:t>
      </w:r>
    </w:p>
    <w:p>
      <w:pPr>
        <w:adjustRightInd w:val="0"/>
        <w:snapToGrid w:val="0"/>
        <w:spacing w:before="120" w:beforeLines="50" w:after="120" w:afterLines="50" w:line="500" w:lineRule="atLeast"/>
        <w:jc w:val="center"/>
        <w:rPr>
          <w:rFonts w:hint="eastAsia" w:ascii="方正小标宋简体" w:hAnsi="方正小标宋_GBK" w:eastAsia="方正小标宋简体" w:cs="方正小标宋_GBK"/>
          <w:b/>
          <w:bCs/>
          <w:sz w:val="44"/>
          <w:szCs w:val="44"/>
        </w:rPr>
      </w:pPr>
      <w:r>
        <w:rPr>
          <w:rFonts w:hint="eastAsia" w:ascii="方正小标宋简体" w:hAnsi="方正小标宋_GBK" w:eastAsia="方正小标宋简体" w:cs="方正小标宋_GBK"/>
          <w:b/>
          <w:bCs/>
          <w:sz w:val="44"/>
          <w:szCs w:val="44"/>
        </w:rPr>
        <w:t>暨产业集群发展规划</w:t>
      </w:r>
    </w:p>
    <w:p>
      <w:pPr>
        <w:adjustRightInd w:val="0"/>
        <w:snapToGrid w:val="0"/>
        <w:spacing w:before="120" w:beforeLines="50" w:after="120" w:afterLines="50" w:line="500" w:lineRule="atLeast"/>
        <w:rPr>
          <w:rFonts w:hint="eastAsia" w:ascii="仿宋_GB2312" w:hAnsi="仿宋_GB2312" w:eastAsia="仿宋_GB2312" w:cs="仿宋_GB2312"/>
          <w:sz w:val="28"/>
          <w:szCs w:val="28"/>
        </w:rPr>
      </w:pPr>
    </w:p>
    <w:p>
      <w:pPr>
        <w:adjustRightInd w:val="0"/>
        <w:snapToGrid w:val="0"/>
        <w:spacing w:before="120" w:beforeLines="50" w:after="120" w:afterLines="50" w:line="500" w:lineRule="atLeast"/>
        <w:jc w:val="center"/>
        <w:outlineLvl w:val="0"/>
        <w:rPr>
          <w:rFonts w:hint="eastAsia" w:ascii="仿宋_GB2312" w:hAnsi="仿宋_GB2312" w:eastAsia="仿宋_GB2312" w:cs="仿宋_GB2312"/>
          <w:sz w:val="36"/>
          <w:szCs w:val="36"/>
        </w:rPr>
      </w:pPr>
    </w:p>
    <w:p>
      <w:pPr>
        <w:adjustRightInd w:val="0"/>
        <w:snapToGrid w:val="0"/>
        <w:spacing w:before="120" w:beforeLines="50" w:after="120" w:afterLines="50" w:line="500" w:lineRule="atLeast"/>
        <w:rPr>
          <w:rFonts w:hint="eastAsia" w:ascii="仿宋_GB2312" w:hAnsi="仿宋_GB2312" w:eastAsia="仿宋_GB2312" w:cs="仿宋_GB2312"/>
          <w:sz w:val="28"/>
          <w:szCs w:val="28"/>
        </w:rPr>
      </w:pPr>
    </w:p>
    <w:p>
      <w:pPr>
        <w:adjustRightInd w:val="0"/>
        <w:snapToGrid w:val="0"/>
        <w:spacing w:before="120" w:beforeLines="50" w:after="120" w:afterLines="50" w:line="500" w:lineRule="atLeast"/>
        <w:rPr>
          <w:rFonts w:hint="eastAsia" w:ascii="仿宋_GB2312" w:hAnsi="仿宋_GB2312" w:eastAsia="仿宋_GB2312" w:cs="仿宋_GB2312"/>
          <w:sz w:val="28"/>
          <w:szCs w:val="28"/>
        </w:rPr>
      </w:pPr>
    </w:p>
    <w:p>
      <w:pPr>
        <w:adjustRightInd w:val="0"/>
        <w:snapToGrid w:val="0"/>
        <w:spacing w:before="120" w:beforeLines="50" w:after="120" w:afterLines="50" w:line="500" w:lineRule="atLeast"/>
        <w:rPr>
          <w:rFonts w:hint="eastAsia" w:ascii="仿宋_GB2312" w:hAnsi="仿宋_GB2312" w:eastAsia="仿宋_GB2312" w:cs="仿宋_GB2312"/>
          <w:sz w:val="28"/>
          <w:szCs w:val="28"/>
        </w:rPr>
      </w:pPr>
    </w:p>
    <w:p>
      <w:pPr>
        <w:adjustRightInd w:val="0"/>
        <w:snapToGrid w:val="0"/>
        <w:spacing w:before="120" w:beforeLines="50" w:after="120" w:afterLines="50" w:line="500" w:lineRule="atLeast"/>
        <w:rPr>
          <w:rFonts w:hint="eastAsia" w:ascii="仿宋_GB2312" w:hAnsi="仿宋_GB2312" w:eastAsia="仿宋_GB2312" w:cs="仿宋_GB2312"/>
          <w:sz w:val="28"/>
          <w:szCs w:val="28"/>
        </w:rPr>
      </w:pPr>
    </w:p>
    <w:p>
      <w:pPr>
        <w:adjustRightInd w:val="0"/>
        <w:snapToGrid w:val="0"/>
        <w:spacing w:before="120" w:beforeLines="50" w:after="120" w:afterLines="50" w:line="500" w:lineRule="atLeast"/>
        <w:rPr>
          <w:rFonts w:hint="eastAsia" w:ascii="仿宋_GB2312" w:hAnsi="仿宋_GB2312" w:eastAsia="仿宋_GB2312" w:cs="仿宋_GB2312"/>
          <w:sz w:val="28"/>
          <w:szCs w:val="28"/>
        </w:rPr>
      </w:pPr>
    </w:p>
    <w:p>
      <w:pPr>
        <w:adjustRightInd w:val="0"/>
        <w:snapToGrid w:val="0"/>
        <w:spacing w:before="120" w:beforeLines="50" w:after="120" w:afterLines="50" w:line="500" w:lineRule="atLeast"/>
        <w:rPr>
          <w:rFonts w:hint="eastAsia" w:ascii="仿宋_GB2312" w:hAnsi="仿宋_GB2312" w:eastAsia="仿宋_GB2312" w:cs="仿宋_GB2312"/>
          <w:sz w:val="28"/>
          <w:szCs w:val="28"/>
        </w:rPr>
      </w:pPr>
    </w:p>
    <w:p>
      <w:pPr>
        <w:adjustRightInd w:val="0"/>
        <w:snapToGrid w:val="0"/>
        <w:spacing w:before="120" w:beforeLines="50" w:after="120" w:afterLines="50" w:line="500" w:lineRule="atLeast"/>
        <w:rPr>
          <w:rFonts w:hint="eastAsia" w:ascii="仿宋_GB2312" w:hAnsi="仿宋_GB2312" w:eastAsia="仿宋_GB2312" w:cs="仿宋_GB2312"/>
          <w:sz w:val="28"/>
          <w:szCs w:val="28"/>
        </w:rPr>
      </w:pPr>
    </w:p>
    <w:p>
      <w:pPr>
        <w:adjustRightInd w:val="0"/>
        <w:snapToGrid w:val="0"/>
        <w:spacing w:before="120" w:beforeLines="50" w:after="120" w:afterLines="50" w:line="500" w:lineRule="atLeast"/>
        <w:rPr>
          <w:rFonts w:hint="eastAsia" w:ascii="仿宋_GB2312" w:hAnsi="仿宋_GB2312" w:eastAsia="仿宋_GB2312" w:cs="仿宋_GB2312"/>
          <w:sz w:val="28"/>
          <w:szCs w:val="28"/>
        </w:rPr>
      </w:pPr>
    </w:p>
    <w:p>
      <w:pPr>
        <w:adjustRightInd w:val="0"/>
        <w:snapToGrid w:val="0"/>
        <w:spacing w:before="120" w:beforeLines="50" w:after="120" w:afterLines="50" w:line="500" w:lineRule="atLeast"/>
        <w:rPr>
          <w:rFonts w:hint="eastAsia" w:ascii="仿宋_GB2312" w:hAnsi="仿宋_GB2312" w:eastAsia="仿宋_GB2312" w:cs="仿宋_GB2312"/>
          <w:sz w:val="28"/>
          <w:szCs w:val="28"/>
        </w:rPr>
      </w:pPr>
    </w:p>
    <w:p>
      <w:pPr>
        <w:adjustRightInd w:val="0"/>
        <w:snapToGrid w:val="0"/>
        <w:spacing w:before="120" w:beforeLines="50" w:after="120" w:afterLines="50" w:line="500" w:lineRule="atLeast"/>
        <w:rPr>
          <w:rFonts w:hint="eastAsia" w:ascii="仿宋_GB2312" w:hAnsi="仿宋_GB2312" w:eastAsia="仿宋_GB2312" w:cs="仿宋_GB2312"/>
          <w:sz w:val="28"/>
          <w:szCs w:val="28"/>
        </w:rPr>
      </w:pPr>
    </w:p>
    <w:p>
      <w:pPr>
        <w:adjustRightInd w:val="0"/>
        <w:snapToGrid w:val="0"/>
        <w:spacing w:before="120" w:beforeLines="50" w:after="120" w:afterLines="50" w:line="500" w:lineRule="atLeast"/>
        <w:rPr>
          <w:rFonts w:hint="eastAsia" w:ascii="仿宋_GB2312" w:hAnsi="仿宋_GB2312" w:eastAsia="仿宋_GB2312" w:cs="仿宋_GB2312"/>
          <w:sz w:val="28"/>
          <w:szCs w:val="28"/>
        </w:rPr>
      </w:pPr>
    </w:p>
    <w:p>
      <w:pPr>
        <w:adjustRightInd w:val="0"/>
        <w:snapToGrid w:val="0"/>
        <w:spacing w:before="120" w:beforeLines="50" w:after="120" w:afterLines="50" w:line="500" w:lineRule="atLeast"/>
        <w:rPr>
          <w:rFonts w:hint="eastAsia" w:ascii="仿宋_GB2312" w:hAnsi="仿宋_GB2312" w:eastAsia="仿宋_GB2312" w:cs="仿宋_GB2312"/>
          <w:sz w:val="28"/>
          <w:szCs w:val="28"/>
        </w:rPr>
      </w:pPr>
    </w:p>
    <w:p>
      <w:pPr>
        <w:adjustRightInd w:val="0"/>
        <w:snapToGrid w:val="0"/>
        <w:spacing w:before="120" w:beforeLines="50" w:after="120" w:afterLines="50" w:line="500" w:lineRule="atLeast"/>
        <w:jc w:val="center"/>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2026年8月</w:t>
      </w:r>
    </w:p>
    <w:p>
      <w:pPr>
        <w:adjustRightInd w:val="0"/>
        <w:snapToGrid w:val="0"/>
        <w:spacing w:before="120" w:beforeLines="50" w:after="120" w:afterLines="50" w:line="500" w:lineRule="atLeast"/>
        <w:rPr>
          <w:rFonts w:hint="eastAsia" w:ascii="仿宋_GB2312" w:hAnsi="仿宋_GB2312" w:eastAsia="仿宋_GB2312" w:cs="仿宋_GB2312"/>
          <w:sz w:val="28"/>
          <w:szCs w:val="28"/>
        </w:rPr>
        <w:sectPr>
          <w:headerReference r:id="rId3" w:type="default"/>
          <w:footerReference r:id="rId5" w:type="default"/>
          <w:headerReference r:id="rId4" w:type="even"/>
          <w:footerReference r:id="rId6" w:type="even"/>
          <w:pgSz w:w="11907" w:h="16840"/>
          <w:pgMar w:top="1984" w:right="1417" w:bottom="1701" w:left="1417" w:header="1247" w:footer="1134" w:gutter="0"/>
          <w:cols w:space="0" w:num="1"/>
          <w:docGrid w:linePitch="326" w:charSpace="0"/>
        </w:sectPr>
      </w:pPr>
    </w:p>
    <w:p>
      <w:pPr>
        <w:adjustRightInd w:val="0"/>
        <w:snapToGrid w:val="0"/>
        <w:spacing w:before="120" w:beforeLines="50" w:after="120" w:afterLines="50" w:line="500" w:lineRule="atLeast"/>
        <w:rPr>
          <w:rFonts w:hint="eastAsia" w:ascii="仿宋_GB2312" w:hAnsi="仿宋_GB2312" w:eastAsia="仿宋_GB2312" w:cs="仿宋_GB2312"/>
          <w:sz w:val="28"/>
          <w:szCs w:val="28"/>
        </w:rPr>
      </w:pPr>
    </w:p>
    <w:p>
      <w:pPr>
        <w:adjustRightInd w:val="0"/>
        <w:snapToGrid w:val="0"/>
        <w:spacing w:before="120" w:beforeLines="50" w:after="120" w:afterLines="50" w:line="500" w:lineRule="atLeast"/>
        <w:jc w:val="center"/>
        <w:outlineLvl w:val="0"/>
        <w:rPr>
          <w:rFonts w:hint="eastAsia" w:ascii="黑体" w:hAnsi="黑体" w:eastAsia="黑体" w:cs="黑体"/>
          <w:sz w:val="32"/>
          <w:szCs w:val="32"/>
        </w:rPr>
      </w:pPr>
      <w:r>
        <w:rPr>
          <w:rFonts w:hint="eastAsia" w:ascii="黑体" w:hAnsi="黑体" w:eastAsia="黑体" w:cs="黑体"/>
          <w:sz w:val="32"/>
          <w:szCs w:val="32"/>
        </w:rPr>
        <w:t>目  录</w:t>
      </w:r>
    </w:p>
    <w:p>
      <w:pPr>
        <w:adjustRightInd w:val="0"/>
        <w:snapToGrid w:val="0"/>
        <w:spacing w:before="120" w:beforeLines="50" w:after="120" w:afterLines="50" w:line="500" w:lineRule="atLeast"/>
        <w:rPr>
          <w:rFonts w:hint="eastAsia" w:ascii="仿宋_GB2312" w:hAnsi="仿宋_GB2312" w:eastAsia="仿宋_GB2312" w:cs="仿宋_GB2312"/>
          <w:sz w:val="28"/>
          <w:szCs w:val="28"/>
        </w:rPr>
      </w:pPr>
    </w:p>
    <w:p>
      <w:pPr>
        <w:adjustRightInd w:val="0"/>
        <w:snapToGrid w:val="0"/>
        <w:spacing w:before="120" w:beforeLines="50" w:after="120" w:afterLines="50" w:line="440" w:lineRule="atLeast"/>
        <w:jc w:val="distribute"/>
        <w:outlineLvl w:val="1"/>
        <w:rPr>
          <w:rFonts w:hint="eastAsia" w:ascii="宋体" w:hAnsi="宋体" w:cs="宋体"/>
          <w:color w:val="000000" w:themeColor="text1"/>
          <w:sz w:val="28"/>
          <w:szCs w:val="28"/>
          <w14:textFill>
            <w14:solidFill>
              <w14:schemeClr w14:val="tx1"/>
            </w14:solidFill>
          </w14:textFill>
        </w:rPr>
      </w:pPr>
      <w:r>
        <w:rPr>
          <w:rFonts w:hint="eastAsia" w:ascii="黑体" w:hAnsi="黑体" w:eastAsia="黑体" w:cs="黑体"/>
          <w:sz w:val="28"/>
          <w:szCs w:val="28"/>
        </w:rPr>
        <w:t xml:space="preserve">第一章  </w:t>
      </w:r>
      <w:r>
        <w:rPr>
          <w:rFonts w:hint="eastAsia" w:ascii="黑体" w:hAnsi="黑体" w:eastAsia="黑体" w:cs="黑体"/>
          <w:color w:val="000000" w:themeColor="text1"/>
          <w:sz w:val="28"/>
          <w:szCs w:val="28"/>
          <w14:textFill>
            <w14:solidFill>
              <w14:schemeClr w14:val="tx1"/>
            </w14:solidFill>
          </w14:textFill>
        </w:rPr>
        <w:t>发展环境</w:t>
      </w:r>
      <w:r>
        <w:rPr>
          <w:rFonts w:hint="eastAsia" w:ascii="宋体" w:hAnsi="宋体" w:cs="宋体"/>
          <w:color w:val="000000" w:themeColor="text1"/>
          <w:sz w:val="28"/>
          <w:szCs w:val="28"/>
          <w14:textFill>
            <w14:solidFill>
              <w14:schemeClr w14:val="tx1"/>
            </w14:solidFill>
          </w14:textFill>
        </w:rPr>
        <w:t>……………………………………………………………3</w:t>
      </w:r>
    </w:p>
    <w:p>
      <w:pPr>
        <w:adjustRightInd w:val="0"/>
        <w:snapToGrid w:val="0"/>
        <w:spacing w:before="120" w:beforeLines="50" w:after="120" w:afterLines="50" w:line="440" w:lineRule="atLeast"/>
        <w:ind w:firstLine="560" w:firstLineChars="200"/>
        <w:jc w:val="distribute"/>
        <w:rPr>
          <w:rFonts w:hint="eastAsia" w:ascii="宋体" w:hAnsi="宋体" w:cs="宋体"/>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第一节  发展成就</w:t>
      </w:r>
      <w:r>
        <w:rPr>
          <w:rFonts w:hint="eastAsia" w:ascii="宋体" w:hAnsi="宋体" w:cs="宋体"/>
          <w:color w:val="000000" w:themeColor="text1"/>
          <w:sz w:val="28"/>
          <w:szCs w:val="28"/>
          <w14:textFill>
            <w14:solidFill>
              <w14:schemeClr w14:val="tx1"/>
            </w14:solidFill>
          </w14:textFill>
        </w:rPr>
        <w:t>………………………………………………………3</w:t>
      </w:r>
    </w:p>
    <w:p>
      <w:pPr>
        <w:adjustRightInd w:val="0"/>
        <w:snapToGrid w:val="0"/>
        <w:spacing w:before="120" w:beforeLines="50" w:after="120" w:afterLines="50" w:line="440" w:lineRule="atLeast"/>
        <w:ind w:firstLine="560" w:firstLineChars="200"/>
        <w:jc w:val="distribute"/>
        <w:rPr>
          <w:rFonts w:hint="eastAsia" w:ascii="宋体" w:hAnsi="宋体" w:cs="宋体"/>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第二节  机遇挑战</w:t>
      </w:r>
      <w:r>
        <w:rPr>
          <w:rFonts w:hint="eastAsia" w:ascii="宋体" w:hAnsi="宋体" w:cs="宋体"/>
          <w:color w:val="000000" w:themeColor="text1"/>
          <w:sz w:val="28"/>
          <w:szCs w:val="28"/>
          <w14:textFill>
            <w14:solidFill>
              <w14:schemeClr w14:val="tx1"/>
            </w14:solidFill>
          </w14:textFill>
        </w:rPr>
        <w:t>………………………………………………………9</w:t>
      </w:r>
    </w:p>
    <w:p>
      <w:pPr>
        <w:adjustRightInd w:val="0"/>
        <w:snapToGrid w:val="0"/>
        <w:spacing w:before="120" w:beforeLines="50" w:after="120" w:afterLines="50" w:line="440" w:lineRule="atLeast"/>
        <w:jc w:val="distribute"/>
        <w:outlineLvl w:val="1"/>
        <w:rPr>
          <w:rFonts w:hint="eastAsia" w:ascii="宋体" w:hAnsi="宋体" w:cs="宋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第二章  总体要求</w:t>
      </w:r>
      <w:r>
        <w:rPr>
          <w:rFonts w:hint="eastAsia" w:ascii="宋体" w:hAnsi="宋体" w:cs="宋体"/>
          <w:color w:val="000000" w:themeColor="text1"/>
          <w:sz w:val="28"/>
          <w:szCs w:val="28"/>
          <w14:textFill>
            <w14:solidFill>
              <w14:schemeClr w14:val="tx1"/>
            </w14:solidFill>
          </w14:textFill>
        </w:rPr>
        <w:t>……………………………………………………………10</w:t>
      </w:r>
    </w:p>
    <w:p>
      <w:pPr>
        <w:adjustRightInd w:val="0"/>
        <w:snapToGrid w:val="0"/>
        <w:spacing w:before="120" w:beforeLines="50" w:after="120" w:afterLines="50" w:line="440" w:lineRule="atLeast"/>
        <w:ind w:firstLine="560" w:firstLineChars="200"/>
        <w:jc w:val="distribute"/>
        <w:rPr>
          <w:rFonts w:hint="eastAsia" w:ascii="宋体" w:hAnsi="宋体" w:cs="宋体"/>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第一节  指导思想</w:t>
      </w:r>
      <w:r>
        <w:rPr>
          <w:rFonts w:hint="eastAsia" w:ascii="宋体" w:hAnsi="宋体" w:cs="宋体"/>
          <w:color w:val="000000" w:themeColor="text1"/>
          <w:sz w:val="28"/>
          <w:szCs w:val="28"/>
          <w14:textFill>
            <w14:solidFill>
              <w14:schemeClr w14:val="tx1"/>
            </w14:solidFill>
          </w14:textFill>
        </w:rPr>
        <w:t>………………………………………………………10</w:t>
      </w:r>
    </w:p>
    <w:p>
      <w:pPr>
        <w:adjustRightInd w:val="0"/>
        <w:snapToGrid w:val="0"/>
        <w:spacing w:before="120" w:beforeLines="50" w:after="120" w:afterLines="50" w:line="440" w:lineRule="atLeast"/>
        <w:ind w:firstLine="560" w:firstLineChars="200"/>
        <w:jc w:val="distribute"/>
        <w:rPr>
          <w:rFonts w:hint="eastAsia" w:ascii="宋体" w:hAnsi="宋体" w:cs="宋体"/>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第二节  基本原则</w:t>
      </w:r>
      <w:r>
        <w:rPr>
          <w:rFonts w:hint="eastAsia" w:ascii="宋体" w:hAnsi="宋体" w:cs="宋体"/>
          <w:color w:val="000000" w:themeColor="text1"/>
          <w:sz w:val="28"/>
          <w:szCs w:val="28"/>
          <w14:textFill>
            <w14:solidFill>
              <w14:schemeClr w14:val="tx1"/>
            </w14:solidFill>
          </w14:textFill>
        </w:rPr>
        <w:t>………………………………………………………11</w:t>
      </w:r>
    </w:p>
    <w:p>
      <w:pPr>
        <w:adjustRightInd w:val="0"/>
        <w:snapToGrid w:val="0"/>
        <w:spacing w:before="120" w:beforeLines="50" w:after="120" w:afterLines="50" w:line="440" w:lineRule="atLeast"/>
        <w:ind w:firstLine="560" w:firstLineChars="200"/>
        <w:jc w:val="distribute"/>
        <w:rPr>
          <w:rFonts w:hint="eastAsia" w:ascii="宋体" w:hAnsi="宋体" w:cs="宋体"/>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第三节  发展目标</w:t>
      </w:r>
      <w:r>
        <w:rPr>
          <w:rFonts w:hint="eastAsia" w:ascii="宋体" w:hAnsi="宋体" w:cs="宋体"/>
          <w:color w:val="000000" w:themeColor="text1"/>
          <w:sz w:val="28"/>
          <w:szCs w:val="28"/>
          <w14:textFill>
            <w14:solidFill>
              <w14:schemeClr w14:val="tx1"/>
            </w14:solidFill>
          </w14:textFill>
        </w:rPr>
        <w:t>………………………………………………………12</w:t>
      </w:r>
    </w:p>
    <w:p>
      <w:pPr>
        <w:adjustRightInd w:val="0"/>
        <w:snapToGrid w:val="0"/>
        <w:spacing w:before="120" w:beforeLines="50" w:after="120" w:afterLines="50" w:line="440" w:lineRule="atLeast"/>
        <w:jc w:val="distribute"/>
        <w:outlineLvl w:val="1"/>
        <w:rPr>
          <w:rFonts w:hint="eastAsia" w:ascii="宋体" w:hAnsi="宋体" w:cs="宋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第三章  主要任务</w:t>
      </w:r>
      <w:r>
        <w:rPr>
          <w:rFonts w:hint="eastAsia" w:ascii="宋体" w:hAnsi="宋体" w:cs="宋体"/>
          <w:color w:val="000000" w:themeColor="text1"/>
          <w:sz w:val="28"/>
          <w:szCs w:val="28"/>
          <w14:textFill>
            <w14:solidFill>
              <w14:schemeClr w14:val="tx1"/>
            </w14:solidFill>
          </w14:textFill>
        </w:rPr>
        <w:t>……………………………………………………………13</w:t>
      </w:r>
    </w:p>
    <w:p>
      <w:pPr>
        <w:adjustRightInd w:val="0"/>
        <w:snapToGrid w:val="0"/>
        <w:spacing w:before="120" w:beforeLines="50" w:after="120" w:afterLines="50" w:line="440" w:lineRule="atLeast"/>
        <w:ind w:firstLine="560" w:firstLineChars="200"/>
        <w:jc w:val="distribute"/>
        <w:rPr>
          <w:rFonts w:hint="eastAsia" w:ascii="宋体" w:hAnsi="宋体" w:cs="宋体"/>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第一节  文化双创赋能文化润疆</w:t>
      </w:r>
      <w:r>
        <w:rPr>
          <w:rFonts w:hint="eastAsia" w:ascii="宋体" w:hAnsi="宋体" w:cs="宋体"/>
          <w:color w:val="000000" w:themeColor="text1"/>
          <w:sz w:val="28"/>
          <w:szCs w:val="28"/>
          <w14:textFill>
            <w14:solidFill>
              <w14:schemeClr w14:val="tx1"/>
            </w14:solidFill>
          </w14:textFill>
        </w:rPr>
        <w:t>………………………………………13</w:t>
      </w:r>
    </w:p>
    <w:p>
      <w:pPr>
        <w:adjustRightInd w:val="0"/>
        <w:snapToGrid w:val="0"/>
        <w:spacing w:before="120" w:beforeLines="50" w:after="120" w:afterLines="50" w:line="440" w:lineRule="atLeast"/>
        <w:ind w:firstLine="560" w:firstLineChars="200"/>
        <w:jc w:val="distribute"/>
        <w:rPr>
          <w:rFonts w:hint="eastAsia" w:ascii="宋体" w:hAnsi="宋体" w:cs="宋体"/>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第二节  文旅融合促进行稳致远</w:t>
      </w:r>
      <w:r>
        <w:rPr>
          <w:rFonts w:hint="eastAsia" w:ascii="宋体" w:hAnsi="宋体" w:cs="宋体"/>
          <w:color w:val="000000" w:themeColor="text1"/>
          <w:sz w:val="28"/>
          <w:szCs w:val="28"/>
          <w14:textFill>
            <w14:solidFill>
              <w14:schemeClr w14:val="tx1"/>
            </w14:solidFill>
          </w14:textFill>
        </w:rPr>
        <w:t>………………………………………26</w:t>
      </w:r>
    </w:p>
    <w:p>
      <w:pPr>
        <w:adjustRightInd w:val="0"/>
        <w:snapToGrid w:val="0"/>
        <w:spacing w:before="120" w:beforeLines="50" w:after="120" w:afterLines="50" w:line="440" w:lineRule="atLeast"/>
        <w:ind w:firstLine="560" w:firstLineChars="200"/>
        <w:jc w:val="distribute"/>
        <w:rPr>
          <w:rFonts w:hint="eastAsia" w:ascii="宋体" w:hAnsi="宋体" w:cs="宋体"/>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第三节  产业集群与布局优化</w:t>
      </w:r>
      <w:r>
        <w:rPr>
          <w:rFonts w:hint="eastAsia" w:ascii="宋体" w:hAnsi="宋体" w:cs="宋体"/>
          <w:color w:val="000000" w:themeColor="text1"/>
          <w:sz w:val="28"/>
          <w:szCs w:val="28"/>
          <w14:textFill>
            <w14:solidFill>
              <w14:schemeClr w14:val="tx1"/>
            </w14:solidFill>
          </w14:textFill>
        </w:rPr>
        <w:t>…………………………………………42</w:t>
      </w:r>
    </w:p>
    <w:p>
      <w:pPr>
        <w:adjustRightInd w:val="0"/>
        <w:snapToGrid w:val="0"/>
        <w:spacing w:before="120" w:beforeLines="50" w:after="120" w:afterLines="50" w:line="440" w:lineRule="atLeast"/>
        <w:ind w:firstLine="560" w:firstLineChars="200"/>
        <w:jc w:val="distribute"/>
        <w:rPr>
          <w:rFonts w:hint="eastAsia" w:ascii="宋体" w:hAnsi="宋体" w:cs="宋体"/>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第四节  全面提振文化旅游消费</w:t>
      </w:r>
      <w:r>
        <w:rPr>
          <w:rFonts w:hint="eastAsia" w:ascii="宋体" w:hAnsi="宋体" w:cs="宋体"/>
          <w:color w:val="000000" w:themeColor="text1"/>
          <w:sz w:val="28"/>
          <w:szCs w:val="28"/>
          <w14:textFill>
            <w14:solidFill>
              <w14:schemeClr w14:val="tx1"/>
            </w14:solidFill>
          </w14:textFill>
        </w:rPr>
        <w:t>………………………………………45</w:t>
      </w:r>
    </w:p>
    <w:p>
      <w:pPr>
        <w:adjustRightInd w:val="0"/>
        <w:snapToGrid w:val="0"/>
        <w:spacing w:before="120" w:beforeLines="50" w:after="120" w:afterLines="50" w:line="440" w:lineRule="atLeast"/>
        <w:ind w:firstLine="560" w:firstLineChars="200"/>
        <w:jc w:val="distribute"/>
        <w:rPr>
          <w:rFonts w:hint="eastAsia" w:ascii="宋体" w:hAnsi="宋体" w:cs="宋体"/>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第五节  讲好巴州文化旅游故事</w:t>
      </w:r>
      <w:r>
        <w:rPr>
          <w:rFonts w:hint="eastAsia" w:ascii="宋体" w:hAnsi="宋体" w:cs="宋体"/>
          <w:color w:val="000000" w:themeColor="text1"/>
          <w:sz w:val="28"/>
          <w:szCs w:val="28"/>
          <w14:textFill>
            <w14:solidFill>
              <w14:schemeClr w14:val="tx1"/>
            </w14:solidFill>
          </w14:textFill>
        </w:rPr>
        <w:t>………………………………………49</w:t>
      </w:r>
    </w:p>
    <w:p>
      <w:pPr>
        <w:adjustRightInd w:val="0"/>
        <w:snapToGrid w:val="0"/>
        <w:spacing w:before="120" w:beforeLines="50" w:after="120" w:afterLines="50" w:line="440" w:lineRule="atLeast"/>
        <w:ind w:firstLine="560" w:firstLineChars="200"/>
        <w:jc w:val="distribute"/>
        <w:rPr>
          <w:rFonts w:hint="eastAsia" w:ascii="宋体" w:hAnsi="宋体" w:cs="宋体"/>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第六节  提升旅游公共服务水平</w:t>
      </w:r>
      <w:r>
        <w:rPr>
          <w:rFonts w:hint="eastAsia" w:ascii="宋体" w:hAnsi="宋体" w:cs="宋体"/>
          <w:color w:val="000000" w:themeColor="text1"/>
          <w:sz w:val="28"/>
          <w:szCs w:val="28"/>
          <w14:textFill>
            <w14:solidFill>
              <w14:schemeClr w14:val="tx1"/>
            </w14:solidFill>
          </w14:textFill>
        </w:rPr>
        <w:t>………………………………………55</w:t>
      </w:r>
    </w:p>
    <w:p>
      <w:pPr>
        <w:adjustRightInd w:val="0"/>
        <w:snapToGrid w:val="0"/>
        <w:spacing w:before="120" w:beforeLines="50" w:after="120" w:afterLines="50" w:line="440" w:lineRule="atLeast"/>
        <w:ind w:firstLine="560" w:firstLineChars="200"/>
        <w:jc w:val="distribute"/>
        <w:rPr>
          <w:rFonts w:hint="eastAsia" w:ascii="宋体" w:hAnsi="宋体" w:cs="宋体"/>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第七节  全面提升文旅治理效能</w:t>
      </w:r>
      <w:r>
        <w:rPr>
          <w:rFonts w:hint="eastAsia" w:ascii="宋体" w:hAnsi="宋体" w:cs="宋体"/>
          <w:color w:val="000000" w:themeColor="text1"/>
          <w:sz w:val="28"/>
          <w:szCs w:val="28"/>
          <w14:textFill>
            <w14:solidFill>
              <w14:schemeClr w14:val="tx1"/>
            </w14:solidFill>
          </w14:textFill>
        </w:rPr>
        <w:t>………………………………………59</w:t>
      </w:r>
    </w:p>
    <w:p>
      <w:pPr>
        <w:adjustRightInd w:val="0"/>
        <w:snapToGrid w:val="0"/>
        <w:spacing w:before="120" w:beforeLines="50" w:after="120" w:afterLines="50" w:line="440" w:lineRule="atLeast"/>
        <w:ind w:firstLine="560" w:firstLineChars="200"/>
        <w:jc w:val="distribute"/>
        <w:rPr>
          <w:rFonts w:hint="eastAsia" w:ascii="宋体" w:hAnsi="宋体" w:cs="宋体"/>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第八节  坚持保护与发展相得益彰</w:t>
      </w:r>
      <w:r>
        <w:rPr>
          <w:rFonts w:hint="eastAsia" w:ascii="宋体" w:hAnsi="宋体" w:cs="宋体"/>
          <w:color w:val="000000" w:themeColor="text1"/>
          <w:sz w:val="28"/>
          <w:szCs w:val="28"/>
          <w14:textFill>
            <w14:solidFill>
              <w14:schemeClr w14:val="tx1"/>
            </w14:solidFill>
          </w14:textFill>
        </w:rPr>
        <w:t>……………………………………61</w:t>
      </w:r>
    </w:p>
    <w:p>
      <w:pPr>
        <w:adjustRightInd w:val="0"/>
        <w:snapToGrid w:val="0"/>
        <w:spacing w:before="120" w:beforeLines="50" w:after="120" w:afterLines="50" w:line="440" w:lineRule="atLeast"/>
        <w:jc w:val="distribute"/>
        <w:outlineLvl w:val="1"/>
        <w:rPr>
          <w:rFonts w:hint="eastAsia" w:ascii="宋体" w:hAnsi="宋体" w:cs="宋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第四章  保障体系与组织实施</w:t>
      </w:r>
      <w:r>
        <w:rPr>
          <w:rFonts w:hint="eastAsia" w:ascii="宋体" w:hAnsi="宋体" w:cs="宋体"/>
          <w:color w:val="000000" w:themeColor="text1"/>
          <w:sz w:val="28"/>
          <w:szCs w:val="28"/>
          <w14:textFill>
            <w14:solidFill>
              <w14:schemeClr w14:val="tx1"/>
            </w14:solidFill>
          </w14:textFill>
        </w:rPr>
        <w:t>………………………………………………63</w:t>
      </w:r>
    </w:p>
    <w:p>
      <w:pPr>
        <w:adjustRightInd w:val="0"/>
        <w:snapToGrid w:val="0"/>
        <w:spacing w:before="120" w:beforeLines="50" w:after="120" w:afterLines="50" w:line="440" w:lineRule="atLeast"/>
        <w:ind w:firstLine="560" w:firstLineChars="200"/>
        <w:jc w:val="distribute"/>
        <w:rPr>
          <w:rFonts w:hint="eastAsia" w:ascii="宋体" w:hAnsi="宋体" w:cs="宋体"/>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第一节  加强组织实施</w:t>
      </w:r>
      <w:r>
        <w:rPr>
          <w:rFonts w:hint="eastAsia" w:ascii="宋体" w:hAnsi="宋体" w:cs="宋体"/>
          <w:color w:val="000000" w:themeColor="text1"/>
          <w:sz w:val="28"/>
          <w:szCs w:val="28"/>
          <w14:textFill>
            <w14:solidFill>
              <w14:schemeClr w14:val="tx1"/>
            </w14:solidFill>
          </w14:textFill>
        </w:rPr>
        <w:t>…………………………………………………63</w:t>
      </w:r>
    </w:p>
    <w:p>
      <w:pPr>
        <w:adjustRightInd w:val="0"/>
        <w:snapToGrid w:val="0"/>
        <w:spacing w:before="120" w:beforeLines="50" w:after="120" w:afterLines="50" w:line="440" w:lineRule="atLeast"/>
        <w:ind w:firstLine="560" w:firstLineChars="200"/>
        <w:jc w:val="distribute"/>
        <w:rPr>
          <w:rFonts w:hint="eastAsia" w:ascii="宋体" w:hAnsi="宋体" w:cs="宋体"/>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第二节  加大财税支持</w:t>
      </w:r>
      <w:r>
        <w:rPr>
          <w:rFonts w:hint="eastAsia" w:ascii="宋体" w:hAnsi="宋体" w:cs="宋体"/>
          <w:color w:val="000000" w:themeColor="text1"/>
          <w:sz w:val="28"/>
          <w:szCs w:val="28"/>
          <w14:textFill>
            <w14:solidFill>
              <w14:schemeClr w14:val="tx1"/>
            </w14:solidFill>
          </w14:textFill>
        </w:rPr>
        <w:t>…………………………………………………63</w:t>
      </w:r>
    </w:p>
    <w:p>
      <w:pPr>
        <w:adjustRightInd w:val="0"/>
        <w:snapToGrid w:val="0"/>
        <w:spacing w:before="120" w:beforeLines="50" w:after="120" w:afterLines="50" w:line="440" w:lineRule="atLeast"/>
        <w:ind w:firstLine="560" w:firstLineChars="200"/>
        <w:jc w:val="distribute"/>
        <w:rPr>
          <w:rFonts w:hint="eastAsia" w:ascii="宋体" w:hAnsi="宋体" w:cs="宋体"/>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第三节  完善用地保障</w:t>
      </w:r>
      <w:r>
        <w:rPr>
          <w:rFonts w:hint="eastAsia" w:ascii="宋体" w:hAnsi="宋体" w:cs="宋体"/>
          <w:color w:val="000000" w:themeColor="text1"/>
          <w:sz w:val="28"/>
          <w:szCs w:val="28"/>
          <w14:textFill>
            <w14:solidFill>
              <w14:schemeClr w14:val="tx1"/>
            </w14:solidFill>
          </w14:textFill>
        </w:rPr>
        <w:t>…………………………………………………63</w:t>
      </w:r>
    </w:p>
    <w:p>
      <w:pPr>
        <w:adjustRightInd w:val="0"/>
        <w:snapToGrid w:val="0"/>
        <w:spacing w:before="120" w:beforeLines="50" w:after="120" w:afterLines="50" w:line="440" w:lineRule="atLeast"/>
        <w:ind w:firstLine="560" w:firstLineChars="200"/>
        <w:jc w:val="distribute"/>
        <w:rPr>
          <w:rFonts w:hint="eastAsia" w:ascii="宋体" w:hAnsi="宋体" w:cs="宋体"/>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第四节  强化人才支撑</w:t>
      </w:r>
      <w:r>
        <w:rPr>
          <w:rFonts w:hint="eastAsia" w:ascii="宋体" w:hAnsi="宋体" w:cs="宋体"/>
          <w:color w:val="000000" w:themeColor="text1"/>
          <w:sz w:val="28"/>
          <w:szCs w:val="28"/>
          <w14:textFill>
            <w14:solidFill>
              <w14:schemeClr w14:val="tx1"/>
            </w14:solidFill>
          </w14:textFill>
        </w:rPr>
        <w:t>…………………………………………………64</w:t>
      </w:r>
    </w:p>
    <w:p>
      <w:pPr>
        <w:adjustRightInd w:val="0"/>
        <w:snapToGrid w:val="0"/>
        <w:spacing w:before="120" w:beforeLines="50" w:after="120" w:afterLines="50" w:line="440" w:lineRule="atLeast"/>
        <w:ind w:firstLine="560" w:firstLineChars="200"/>
        <w:jc w:val="distribute"/>
        <w:rPr>
          <w:rFonts w:hint="eastAsia" w:ascii="宋体" w:hAnsi="宋体" w:cs="宋体"/>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第五节  加强规划衔接</w:t>
      </w:r>
      <w:r>
        <w:rPr>
          <w:rFonts w:hint="eastAsia" w:ascii="宋体" w:hAnsi="宋体" w:cs="宋体"/>
          <w:color w:val="000000" w:themeColor="text1"/>
          <w:sz w:val="28"/>
          <w:szCs w:val="28"/>
          <w14:textFill>
            <w14:solidFill>
              <w14:schemeClr w14:val="tx1"/>
            </w14:solidFill>
          </w14:textFill>
        </w:rPr>
        <w:t>…………………………………………………64</w:t>
      </w:r>
    </w:p>
    <w:p>
      <w:pPr>
        <w:adjustRightInd w:val="0"/>
        <w:snapToGrid w:val="0"/>
        <w:spacing w:before="120" w:beforeLines="50" w:after="120" w:afterLines="50" w:line="440" w:lineRule="atLeast"/>
        <w:ind w:firstLine="560" w:firstLineChars="200"/>
        <w:jc w:val="distribute"/>
        <w:rPr>
          <w:rFonts w:hint="eastAsia" w:ascii="宋体" w:hAnsi="宋体" w:cs="宋体"/>
          <w:color w:val="000000" w:themeColor="text1"/>
          <w:sz w:val="28"/>
          <w:szCs w:val="28"/>
          <w14:textFill>
            <w14:solidFill>
              <w14:schemeClr w14:val="tx1"/>
            </w14:solidFill>
          </w14:textFill>
        </w:rPr>
      </w:pPr>
      <w:r>
        <w:rPr>
          <w:rFonts w:hint="eastAsia" w:ascii="楷体_GB2312" w:hAnsi="楷体_GB2312" w:eastAsia="楷体_GB2312" w:cs="楷体_GB2312"/>
          <w:color w:val="000000" w:themeColor="text1"/>
          <w:sz w:val="28"/>
          <w:szCs w:val="28"/>
          <w14:textFill>
            <w14:solidFill>
              <w14:schemeClr w14:val="tx1"/>
            </w14:solidFill>
          </w14:textFill>
        </w:rPr>
        <w:t>第六节  严格规划评估</w:t>
      </w:r>
      <w:r>
        <w:rPr>
          <w:rFonts w:hint="eastAsia" w:ascii="宋体" w:hAnsi="宋体" w:cs="宋体"/>
          <w:color w:val="000000" w:themeColor="text1"/>
          <w:sz w:val="28"/>
          <w:szCs w:val="28"/>
          <w14:textFill>
            <w14:solidFill>
              <w14:schemeClr w14:val="tx1"/>
            </w14:solidFill>
          </w14:textFill>
        </w:rPr>
        <w:t>…………………………………………………64</w:t>
      </w:r>
    </w:p>
    <w:p>
      <w:pPr>
        <w:adjustRightInd w:val="0"/>
        <w:snapToGrid w:val="0"/>
        <w:spacing w:before="120" w:beforeLines="50" w:after="120" w:afterLines="50" w:line="420" w:lineRule="atLeast"/>
        <w:ind w:firstLine="560" w:firstLineChars="200"/>
        <w:jc w:val="distribut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pPr>
        <w:adjustRightInd w:val="0"/>
        <w:snapToGrid w:val="0"/>
        <w:spacing w:before="120" w:beforeLines="50" w:after="120" w:afterLines="50" w:line="500" w:lineRule="atLeast"/>
        <w:rPr>
          <w:rFonts w:hint="eastAsia" w:ascii="宋体" w:hAnsi="宋体" w:cs="宋体"/>
          <w:sz w:val="28"/>
          <w:szCs w:val="28"/>
        </w:rPr>
      </w:pPr>
    </w:p>
    <w:p>
      <w:pPr>
        <w:adjustRightInd w:val="0"/>
        <w:snapToGrid w:val="0"/>
        <w:spacing w:before="120" w:beforeLines="50" w:after="120" w:afterLines="50" w:line="500" w:lineRule="atLeast"/>
        <w:rPr>
          <w:rFonts w:hint="eastAsia" w:ascii="宋体" w:hAnsi="宋体" w:cs="宋体"/>
          <w:sz w:val="28"/>
          <w:szCs w:val="28"/>
        </w:rPr>
      </w:pPr>
    </w:p>
    <w:p>
      <w:pPr>
        <w:adjustRightInd w:val="0"/>
        <w:snapToGrid w:val="0"/>
        <w:spacing w:before="120" w:beforeLines="50" w:after="120" w:afterLines="50" w:line="500" w:lineRule="atLeast"/>
        <w:jc w:val="center"/>
        <w:rPr>
          <w:rFonts w:hint="eastAsia" w:ascii="方正小标宋简体" w:hAnsi="方正小标宋_GBK" w:eastAsia="方正小标宋简体" w:cs="方正小标宋_GBK"/>
          <w:b/>
          <w:bCs/>
          <w:sz w:val="44"/>
          <w:szCs w:val="44"/>
        </w:rPr>
      </w:pPr>
      <w:r>
        <w:rPr>
          <w:rFonts w:hint="eastAsia" w:ascii="方正小标宋简体" w:hAnsi="方正小标宋_GBK" w:eastAsia="方正小标宋简体" w:cs="方正小标宋_GBK"/>
          <w:b/>
          <w:bCs/>
          <w:sz w:val="44"/>
          <w:szCs w:val="44"/>
        </w:rPr>
        <w:t>巴音郭楞蒙古自治州“十五五”文化和旅游</w:t>
      </w:r>
    </w:p>
    <w:p>
      <w:pPr>
        <w:adjustRightInd w:val="0"/>
        <w:snapToGrid w:val="0"/>
        <w:spacing w:before="120" w:beforeLines="50" w:after="120" w:afterLines="50" w:line="500" w:lineRule="atLeast"/>
        <w:jc w:val="center"/>
        <w:rPr>
          <w:rFonts w:hint="eastAsia" w:ascii="方正小标宋简体" w:hAnsi="方正小标宋_GBK" w:eastAsia="方正小标宋简体" w:cs="方正小标宋_GBK"/>
          <w:b/>
          <w:bCs/>
          <w:sz w:val="44"/>
          <w:szCs w:val="44"/>
        </w:rPr>
      </w:pPr>
      <w:r>
        <w:rPr>
          <w:rFonts w:hint="eastAsia" w:ascii="方正小标宋简体" w:hAnsi="方正小标宋_GBK" w:eastAsia="方正小标宋简体" w:cs="方正小标宋_GBK"/>
          <w:b/>
          <w:bCs/>
          <w:sz w:val="44"/>
          <w:szCs w:val="44"/>
        </w:rPr>
        <w:t>暨产业集群发展规划</w:t>
      </w:r>
    </w:p>
    <w:p>
      <w:pPr>
        <w:adjustRightInd w:val="0"/>
        <w:snapToGrid w:val="0"/>
        <w:spacing w:before="120" w:beforeLines="50" w:after="120" w:afterLines="50" w:line="500" w:lineRule="atLeast"/>
        <w:rPr>
          <w:rFonts w:hint="eastAsia" w:ascii="宋体" w:hAnsi="宋体" w:cs="宋体"/>
          <w:sz w:val="28"/>
          <w:szCs w:val="28"/>
        </w:rPr>
      </w:pPr>
    </w:p>
    <w:p>
      <w:pPr>
        <w:adjustRightInd w:val="0"/>
        <w:snapToGrid w:val="0"/>
        <w:spacing w:before="120" w:beforeLines="50" w:after="120" w:afterLines="50" w:line="500" w:lineRule="atLeast"/>
        <w:rPr>
          <w:rFonts w:hint="eastAsia" w:ascii="宋体" w:hAnsi="宋体" w:cs="宋体"/>
          <w:sz w:val="28"/>
          <w:szCs w:val="28"/>
        </w:rPr>
      </w:pPr>
    </w:p>
    <w:p>
      <w:pPr>
        <w:adjustRightInd w:val="0"/>
        <w:snapToGrid w:val="0"/>
        <w:spacing w:before="120" w:beforeLines="50" w:after="120" w:afterLines="50" w:line="480" w:lineRule="atLeast"/>
        <w:ind w:firstLine="560" w:firstLineChars="200"/>
        <w:rPr>
          <w:rFonts w:hint="eastAsia" w:ascii="宋体" w:hAnsi="宋体" w:cs="宋体"/>
          <w:color w:val="000000" w:themeColor="text1"/>
          <w:sz w:val="28"/>
          <w:szCs w:val="28"/>
          <w14:textFill>
            <w14:solidFill>
              <w14:schemeClr w14:val="tx1"/>
            </w14:solidFill>
          </w14:textFill>
        </w:rPr>
      </w:pPr>
      <w:r>
        <w:rPr>
          <w:rFonts w:hint="eastAsia"/>
          <w:sz w:val="28"/>
          <w:szCs w:val="28"/>
        </w:rPr>
        <w:t>建设社会主义现代化巴州，文化是强大精神动力、旅游是特色优势产业、文旅深度融合是战略安排。为贯彻国家、自治区、自治州决策部署，</w:t>
      </w:r>
      <w:r>
        <w:rPr>
          <w:rFonts w:hint="eastAsia" w:ascii="宋体" w:hAnsi="宋体" w:cs="宋体"/>
          <w:color w:val="000000" w:themeColor="text1"/>
          <w:sz w:val="28"/>
          <w:szCs w:val="28"/>
          <w14:textFill>
            <w14:solidFill>
              <w14:schemeClr w14:val="tx1"/>
            </w14:solidFill>
          </w14:textFill>
        </w:rPr>
        <w:t>全面推进文化和旅游暨产业集群高质量发展，</w:t>
      </w:r>
      <w:r>
        <w:rPr>
          <w:rFonts w:hint="eastAsia"/>
          <w:sz w:val="28"/>
          <w:szCs w:val="28"/>
        </w:rPr>
        <w:t>根据《巴音郭楞蒙古自治州国民经济和社会发展第十五个五年规划纲要》，落实《</w:t>
      </w:r>
      <w:r>
        <w:rPr>
          <w:sz w:val="28"/>
          <w:szCs w:val="28"/>
        </w:rPr>
        <w:t>新疆维吾尔自治区“十五五”文化和旅游发展规划》</w:t>
      </w:r>
      <w:r>
        <w:rPr>
          <w:rFonts w:hint="eastAsia"/>
          <w:sz w:val="28"/>
          <w:szCs w:val="28"/>
        </w:rPr>
        <w:t>，制定本规划。</w:t>
      </w:r>
    </w:p>
    <w:p>
      <w:pPr>
        <w:adjustRightInd w:val="0"/>
        <w:snapToGrid w:val="0"/>
        <w:spacing w:before="360" w:beforeLines="150" w:after="360" w:afterLines="150" w:line="500" w:lineRule="atLeast"/>
        <w:jc w:val="center"/>
        <w:outlineLvl w:val="0"/>
        <w:rPr>
          <w:rFonts w:hint="eastAsia" w:ascii="宋体" w:hAnsi="宋体" w:cs="宋体"/>
          <w:sz w:val="28"/>
          <w:szCs w:val="28"/>
        </w:rPr>
      </w:pPr>
      <w:r>
        <w:rPr>
          <w:rFonts w:hint="eastAsia" w:ascii="黑体" w:hAnsi="黑体" w:eastAsia="黑体" w:cs="黑体"/>
          <w:sz w:val="28"/>
          <w:szCs w:val="28"/>
        </w:rPr>
        <w:t>第一章  发展环境</w:t>
      </w:r>
    </w:p>
    <w:p>
      <w:pPr>
        <w:adjustRightInd w:val="0"/>
        <w:snapToGrid w:val="0"/>
        <w:spacing w:before="240" w:beforeLines="100" w:after="240" w:afterLines="100" w:line="500" w:lineRule="atLeast"/>
        <w:jc w:val="center"/>
        <w:outlineLvl w:val="1"/>
        <w:rPr>
          <w:rFonts w:hint="eastAsia" w:ascii="仿宋_GB2312" w:hAnsi="仿宋_GB2312" w:eastAsia="仿宋_GB2312" w:cs="仿宋_GB2312"/>
          <w:b/>
          <w:bCs/>
          <w:sz w:val="28"/>
          <w:szCs w:val="28"/>
        </w:rPr>
      </w:pPr>
      <w:r>
        <w:rPr>
          <w:rFonts w:hint="eastAsia" w:ascii="楷体_GB2312" w:hAnsi="楷体_GB2312" w:eastAsia="楷体_GB2312" w:cs="楷体_GB2312"/>
          <w:b/>
          <w:bCs/>
          <w:sz w:val="28"/>
          <w:szCs w:val="28"/>
        </w:rPr>
        <w:t>第一节  发展成就</w:t>
      </w:r>
    </w:p>
    <w:p>
      <w:pPr>
        <w:adjustRightInd w:val="0"/>
        <w:snapToGrid w:val="0"/>
        <w:spacing w:before="120" w:beforeLines="50" w:after="120" w:afterLines="50" w:line="500" w:lineRule="atLeast"/>
        <w:ind w:firstLine="560" w:firstLineChars="200"/>
        <w:rPr>
          <w:sz w:val="28"/>
          <w:szCs w:val="28"/>
        </w:rPr>
      </w:pPr>
      <w:r>
        <w:rPr>
          <w:rFonts w:hint="eastAsia"/>
          <w:sz w:val="28"/>
          <w:szCs w:val="28"/>
        </w:rPr>
        <w:t>“十四五”时期，巴州坚持把铸牢中华民族共同体意识作为主线，系统推进文化润疆工程、旅游兴疆战略，对口援疆省（市）提供强大支持，文化和旅游发展成就显著。</w:t>
      </w:r>
    </w:p>
    <w:p>
      <w:pPr>
        <w:adjustRightInd w:val="0"/>
        <w:snapToGrid w:val="0"/>
        <w:spacing w:before="120" w:beforeLines="50" w:after="120" w:afterLines="50" w:line="500" w:lineRule="atLeast"/>
        <w:ind w:firstLine="562" w:firstLineChars="200"/>
        <w:outlineLvl w:val="2"/>
        <w:rPr>
          <w:rFonts w:hint="eastAsia" w:ascii="宋体" w:hAnsi="宋体" w:cs="宋体"/>
          <w:b/>
          <w:sz w:val="28"/>
          <w:szCs w:val="28"/>
        </w:rPr>
      </w:pPr>
      <w:r>
        <w:rPr>
          <w:rFonts w:hint="eastAsia" w:ascii="宋体" w:hAnsi="宋体" w:cs="宋体"/>
          <w:b/>
          <w:sz w:val="28"/>
          <w:szCs w:val="28"/>
        </w:rPr>
        <w:t>一、文化事业蓬勃发展</w:t>
      </w:r>
    </w:p>
    <w:p>
      <w:pPr>
        <w:adjustRightInd w:val="0"/>
        <w:snapToGrid w:val="0"/>
        <w:spacing w:before="120" w:beforeLines="50" w:after="120" w:afterLines="50" w:line="480" w:lineRule="atLeast"/>
        <w:ind w:firstLine="562" w:firstLineChars="200"/>
        <w:rPr>
          <w:rFonts w:hint="eastAsia" w:ascii="宋体" w:hAnsi="宋体" w:cs="宋体"/>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文化润疆扎实推进。</w:t>
      </w:r>
      <w:r>
        <w:rPr>
          <w:rFonts w:hint="eastAsia" w:ascii="宋体" w:hAnsi="宋体" w:cs="宋体"/>
          <w:color w:val="000000" w:themeColor="text1"/>
          <w:sz w:val="28"/>
          <w:szCs w:val="28"/>
          <w14:textFill>
            <w14:solidFill>
              <w14:schemeClr w14:val="tx1"/>
            </w14:solidFill>
          </w14:textFill>
        </w:rPr>
        <w:t>建成“1+8”历史文化工程，教育引导各族群众树立正确的中华民族历史观。深入挖掘楼兰、东归、军垦、马兰、石油等地域特色文化内涵，开展铸牢中华民族共同体意识教育实践基地创建。实施新时代文明实践中心（所、站、点）建设提档升级，组建巴州融媒体中心，建设全州各级公共文化场馆数字化平台，免费开放733家“四馆一站一中心”，统筹发挥好公共文化阵地职能作用，组织各族群众开展文化惠民、健身体育等各类文体活动，打通文化润疆“最后一公里”。</w:t>
      </w:r>
    </w:p>
    <w:p>
      <w:pPr>
        <w:adjustRightInd w:val="0"/>
        <w:snapToGrid w:val="0"/>
        <w:spacing w:before="120" w:beforeLines="50" w:after="120" w:afterLines="50" w:line="480" w:lineRule="atLeast"/>
        <w:ind w:firstLine="562" w:firstLineChars="200"/>
        <w:rPr>
          <w:rFonts w:hint="eastAsia" w:ascii="宋体" w:hAnsi="宋体" w:cs="宋体"/>
          <w:sz w:val="28"/>
          <w:szCs w:val="28"/>
        </w:rPr>
      </w:pPr>
      <w:r>
        <w:rPr>
          <w:rFonts w:hint="eastAsia" w:ascii="宋体" w:hAnsi="宋体" w:cs="宋体"/>
          <w:b/>
          <w:sz w:val="28"/>
          <w:szCs w:val="28"/>
        </w:rPr>
        <w:t>文化服务提质增效。</w:t>
      </w:r>
      <w:r>
        <w:rPr>
          <w:rFonts w:hint="eastAsia" w:ascii="宋体" w:hAnsi="宋体" w:cs="宋体"/>
          <w:sz w:val="28"/>
          <w:szCs w:val="28"/>
        </w:rPr>
        <w:t>全州“三馆一站”免费开放惠及群众</w:t>
      </w:r>
      <w:r>
        <w:rPr>
          <w:rFonts w:ascii="宋体" w:hAnsi="宋体" w:cs="宋体"/>
          <w:sz w:val="28"/>
          <w:szCs w:val="28"/>
        </w:rPr>
        <w:t>12</w:t>
      </w:r>
      <w:r>
        <w:rPr>
          <w:rFonts w:hint="eastAsia" w:ascii="宋体" w:hAnsi="宋体" w:cs="宋体"/>
          <w:sz w:val="28"/>
          <w:szCs w:val="28"/>
        </w:rPr>
        <w:t>12</w:t>
      </w:r>
      <w:r>
        <w:rPr>
          <w:rFonts w:ascii="宋体" w:hAnsi="宋体" w:cs="宋体"/>
          <w:sz w:val="28"/>
          <w:szCs w:val="28"/>
        </w:rPr>
        <w:t>.</w:t>
      </w:r>
      <w:r>
        <w:rPr>
          <w:rFonts w:hint="eastAsia" w:ascii="宋体" w:hAnsi="宋体" w:cs="宋体"/>
          <w:sz w:val="28"/>
          <w:szCs w:val="28"/>
        </w:rPr>
        <w:t>44万人次，艺术表演团体下基层演出4505场，惠及群众</w:t>
      </w:r>
      <w:r>
        <w:rPr>
          <w:rFonts w:ascii="宋体" w:hAnsi="宋体" w:cs="宋体"/>
          <w:sz w:val="28"/>
          <w:szCs w:val="28"/>
        </w:rPr>
        <w:t>3</w:t>
      </w:r>
      <w:r>
        <w:rPr>
          <w:rFonts w:hint="eastAsia" w:ascii="宋体" w:hAnsi="宋体" w:cs="宋体"/>
          <w:sz w:val="28"/>
          <w:szCs w:val="28"/>
        </w:rPr>
        <w:t>27</w:t>
      </w:r>
      <w:r>
        <w:rPr>
          <w:rFonts w:ascii="宋体" w:hAnsi="宋体" w:cs="宋体"/>
          <w:sz w:val="28"/>
          <w:szCs w:val="28"/>
        </w:rPr>
        <w:t>.</w:t>
      </w:r>
      <w:r>
        <w:rPr>
          <w:rFonts w:hint="eastAsia" w:ascii="宋体" w:hAnsi="宋体" w:cs="宋体"/>
          <w:sz w:val="28"/>
          <w:szCs w:val="28"/>
        </w:rPr>
        <w:t>83万人次。开展线上线下文物宣传展示及社教活动527场，惠及群众87.50万人次。组织全州乡村特色文艺小分队开展演出</w:t>
      </w:r>
      <w:r>
        <w:rPr>
          <w:rFonts w:ascii="宋体" w:hAnsi="宋体" w:cs="宋体"/>
          <w:sz w:val="28"/>
          <w:szCs w:val="28"/>
        </w:rPr>
        <w:t>19</w:t>
      </w:r>
      <w:r>
        <w:rPr>
          <w:rFonts w:hint="eastAsia" w:ascii="宋体" w:hAnsi="宋体" w:cs="宋体"/>
          <w:sz w:val="28"/>
          <w:szCs w:val="28"/>
        </w:rPr>
        <w:t>799场次，惠及群众</w:t>
      </w:r>
      <w:r>
        <w:rPr>
          <w:rFonts w:ascii="宋体" w:hAnsi="宋体" w:cs="宋体"/>
          <w:sz w:val="28"/>
          <w:szCs w:val="28"/>
        </w:rPr>
        <w:t>47</w:t>
      </w:r>
      <w:r>
        <w:rPr>
          <w:rFonts w:hint="eastAsia" w:ascii="宋体" w:hAnsi="宋体" w:cs="宋体"/>
          <w:sz w:val="28"/>
          <w:szCs w:val="28"/>
        </w:rPr>
        <w:t>5</w:t>
      </w:r>
      <w:r>
        <w:rPr>
          <w:rFonts w:ascii="宋体" w:hAnsi="宋体" w:cs="宋体"/>
          <w:sz w:val="28"/>
          <w:szCs w:val="28"/>
        </w:rPr>
        <w:t>.</w:t>
      </w:r>
      <w:r>
        <w:rPr>
          <w:rFonts w:hint="eastAsia" w:ascii="宋体" w:hAnsi="宋体" w:cs="宋体"/>
          <w:sz w:val="28"/>
          <w:szCs w:val="28"/>
        </w:rPr>
        <w:t>38万人次。</w:t>
      </w:r>
    </w:p>
    <w:p>
      <w:pPr>
        <w:adjustRightInd w:val="0"/>
        <w:snapToGrid w:val="0"/>
        <w:spacing w:before="120" w:beforeLines="50" w:after="120" w:afterLines="50" w:line="480" w:lineRule="atLeast"/>
        <w:ind w:firstLine="562" w:firstLineChars="200"/>
        <w:rPr>
          <w:rFonts w:hint="eastAsia" w:ascii="宋体" w:hAnsi="宋体" w:cs="宋体"/>
          <w:sz w:val="28"/>
          <w:szCs w:val="28"/>
        </w:rPr>
      </w:pPr>
      <w:r>
        <w:rPr>
          <w:rFonts w:hint="eastAsia" w:ascii="宋体" w:hAnsi="宋体" w:cs="宋体"/>
          <w:b/>
          <w:sz w:val="28"/>
          <w:szCs w:val="28"/>
        </w:rPr>
        <w:t>文艺精品成果丰硕。</w:t>
      </w:r>
      <w:r>
        <w:rPr>
          <w:rFonts w:hint="eastAsia" w:ascii="宋体" w:hAnsi="宋体" w:cs="宋体"/>
          <w:sz w:val="28"/>
          <w:szCs w:val="28"/>
        </w:rPr>
        <w:t>围绕厚植社会主义先进文化，针对党的二十大以来巴州高质量发展、民族团结、乡村振兴等方面取得的成就进行文艺创作和巡展巡演，持续做好情景剧《情系巴音郭楞》、舞台剧《东归·印象》、话剧《我叫王成帮》、音乐剧《如果·马兰》、歌舞剧《楼兰九歌》、歌舞诗《萨吾尔登》、独幕舞剧《大唐烽燧》等体现巴州特色的文艺精品演出交流活动，讲好新疆故事，传播巴州好声音。全州475支乡村文艺特色小分队每支队伍每年演出8场（次）以上，全年州县国有文艺院团演出700场（次）以上。</w:t>
      </w:r>
    </w:p>
    <w:p>
      <w:pPr>
        <w:adjustRightInd w:val="0"/>
        <w:snapToGrid w:val="0"/>
        <w:spacing w:before="120" w:beforeLines="50" w:after="120" w:afterLines="50" w:line="500" w:lineRule="atLeast"/>
        <w:ind w:firstLine="562" w:firstLineChars="200"/>
        <w:rPr>
          <w:rFonts w:hint="eastAsia" w:ascii="宋体" w:hAnsi="宋体" w:cs="宋体"/>
          <w:sz w:val="28"/>
          <w:szCs w:val="28"/>
        </w:rPr>
      </w:pPr>
      <w:r>
        <w:rPr>
          <w:rFonts w:hint="eastAsia" w:ascii="宋体" w:hAnsi="宋体" w:cs="宋体"/>
          <w:b/>
          <w:sz w:val="28"/>
          <w:szCs w:val="28"/>
        </w:rPr>
        <w:t>非遗保护传承有力。</w:t>
      </w:r>
      <w:r>
        <w:rPr>
          <w:rFonts w:hint="eastAsia" w:ascii="宋体" w:hAnsi="宋体" w:cs="宋体"/>
          <w:sz w:val="28"/>
          <w:szCs w:val="28"/>
        </w:rPr>
        <w:t>全州有国家级非遗代表性项目14项，国家级非遗代表性传承人9名；自治区级非遗代表性项目59项，</w:t>
      </w:r>
      <w:bookmarkStart w:id="0" w:name="_Hlk227850849"/>
      <w:r>
        <w:rPr>
          <w:rFonts w:hint="eastAsia" w:ascii="宋体" w:hAnsi="宋体" w:cs="宋体"/>
          <w:sz w:val="28"/>
          <w:szCs w:val="28"/>
        </w:rPr>
        <w:t>正常履职的</w:t>
      </w:r>
      <w:bookmarkEnd w:id="0"/>
      <w:r>
        <w:rPr>
          <w:rFonts w:hint="eastAsia" w:ascii="宋体" w:hAnsi="宋体" w:cs="宋体"/>
          <w:sz w:val="28"/>
          <w:szCs w:val="28"/>
        </w:rPr>
        <w:t>自治区级非遗代表性传承人38名；自治州级非遗代表性项目194项，</w:t>
      </w:r>
      <w:bookmarkStart w:id="1" w:name="_Hlk227850905"/>
      <w:r>
        <w:rPr>
          <w:rFonts w:hint="eastAsia" w:ascii="宋体" w:hAnsi="宋体" w:cs="宋体"/>
          <w:sz w:val="28"/>
          <w:szCs w:val="28"/>
        </w:rPr>
        <w:t>正常履职的</w:t>
      </w:r>
      <w:bookmarkEnd w:id="1"/>
      <w:r>
        <w:rPr>
          <w:rFonts w:hint="eastAsia" w:ascii="宋体" w:hAnsi="宋体" w:cs="宋体"/>
          <w:sz w:val="28"/>
          <w:szCs w:val="28"/>
        </w:rPr>
        <w:t>自治州级非遗代表性传承人549名；县级非遗代表性项目730项，正常履职的县级非遗代表性传承人1645名。完成国家级非遗代表性传承人纪录片6部，成功承办2024“新疆是个好地方”对口援疆非物质文化遗产展示活动，全方位、多层次开展铸牢中华民族共同体意识宣传教育。</w:t>
      </w:r>
    </w:p>
    <w:p>
      <w:pPr>
        <w:adjustRightInd w:val="0"/>
        <w:snapToGrid w:val="0"/>
        <w:spacing w:before="120" w:beforeLines="50" w:after="120" w:afterLines="50" w:line="500" w:lineRule="atLeast"/>
        <w:ind w:firstLine="562" w:firstLineChars="200"/>
        <w:rPr>
          <w:rFonts w:hint="eastAsia" w:ascii="宋体" w:hAnsi="宋体" w:cs="宋体"/>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文物保护稳步向好。</w:t>
      </w:r>
      <w:r>
        <w:rPr>
          <w:rFonts w:hint="eastAsia" w:ascii="宋体" w:hAnsi="宋体" w:cs="宋体"/>
          <w:bCs/>
          <w:color w:val="000000" w:themeColor="text1"/>
          <w:sz w:val="28"/>
          <w:szCs w:val="28"/>
          <w14:textFill>
            <w14:solidFill>
              <w14:schemeClr w14:val="tx1"/>
            </w14:solidFill>
          </w14:textFill>
        </w:rPr>
        <w:t>尉犁克亚克库都克烽燧遗址连续入选“考古中国”重大项目、2020年中国考古新发现及2021年度全国十大考古新发现，若羌小河墓地跻身2021年“百年百大考古发现”。</w:t>
      </w:r>
      <w:r>
        <w:rPr>
          <w:rFonts w:hint="eastAsia" w:ascii="宋体" w:hAnsi="宋体" w:cs="宋体"/>
          <w:color w:val="000000" w:themeColor="text1"/>
          <w:sz w:val="28"/>
          <w:szCs w:val="28"/>
          <w14:textFill>
            <w14:solidFill>
              <w14:schemeClr w14:val="tx1"/>
            </w14:solidFill>
          </w14:textFill>
        </w:rPr>
        <w:t>文物保护全面覆盖，全州现有全国重点文物保护单位18处，自治区级文物保护单位61处，县级文物保护单位273处。</w:t>
      </w:r>
    </w:p>
    <w:p>
      <w:pPr>
        <w:adjustRightInd w:val="0"/>
        <w:snapToGrid w:val="0"/>
        <w:spacing w:before="120" w:beforeLines="50" w:after="120" w:afterLines="50" w:line="500" w:lineRule="atLeast"/>
        <w:ind w:firstLine="562" w:firstLineChars="200"/>
        <w:rPr>
          <w:rFonts w:hint="eastAsia" w:ascii="宋体" w:hAnsi="宋体" w:cs="宋体"/>
          <w:sz w:val="28"/>
          <w:szCs w:val="28"/>
        </w:rPr>
      </w:pPr>
      <w:r>
        <w:rPr>
          <w:rFonts w:hint="eastAsia" w:ascii="宋体" w:hAnsi="宋体" w:cs="宋体"/>
          <w:b/>
          <w:sz w:val="28"/>
          <w:szCs w:val="28"/>
        </w:rPr>
        <w:t>文博展示创新突破。</w:t>
      </w:r>
      <w:r>
        <w:rPr>
          <w:rFonts w:hint="eastAsia" w:ascii="宋体" w:hAnsi="宋体" w:cs="宋体"/>
          <w:sz w:val="28"/>
          <w:szCs w:val="28"/>
        </w:rPr>
        <w:t>西域都护府博物馆、和静博物馆、丝绸之路长城文化博物馆等6家博物馆建成开放，年接待超100万人次；孔雀河烽燧群、米兰遗址等实现“活态”运营。增强博物馆展陈效果，巴州心祖、和硕冠颐酒庄西域葡萄酒文化博物馆、焉耆天塞相机展示馆、塔里木油田历史展览馆4家特色博物馆创新展现形式，推动博物馆成为文旅融合发展的新增长点和前沿阵地。</w:t>
      </w:r>
    </w:p>
    <w:p>
      <w:pPr>
        <w:adjustRightInd w:val="0"/>
        <w:snapToGrid w:val="0"/>
        <w:spacing w:before="120" w:beforeLines="50" w:after="120" w:afterLines="50" w:line="500" w:lineRule="atLeast"/>
        <w:ind w:firstLine="562" w:firstLineChars="200"/>
        <w:outlineLvl w:val="2"/>
        <w:rPr>
          <w:rFonts w:hint="eastAsia" w:ascii="宋体" w:hAnsi="宋体" w:cs="宋体"/>
          <w:b/>
          <w:sz w:val="28"/>
          <w:szCs w:val="28"/>
        </w:rPr>
      </w:pPr>
      <w:r>
        <w:rPr>
          <w:rFonts w:hint="eastAsia" w:ascii="宋体" w:hAnsi="宋体" w:cs="宋体"/>
          <w:b/>
          <w:sz w:val="28"/>
          <w:szCs w:val="28"/>
        </w:rPr>
        <w:t>二、旅游产业提质增效</w:t>
      </w:r>
    </w:p>
    <w:p>
      <w:pPr>
        <w:adjustRightInd w:val="0"/>
        <w:snapToGrid w:val="0"/>
        <w:spacing w:before="120" w:beforeLines="50" w:after="120" w:afterLines="50" w:line="500" w:lineRule="atLeast"/>
        <w:ind w:firstLine="562" w:firstLineChars="200"/>
        <w:rPr>
          <w:rFonts w:hint="eastAsia" w:ascii="宋体" w:hAnsi="宋体" w:cs="宋体"/>
          <w:sz w:val="28"/>
          <w:szCs w:val="28"/>
        </w:rPr>
      </w:pPr>
      <w:r>
        <w:rPr>
          <w:rFonts w:hint="eastAsia" w:ascii="宋体" w:hAnsi="宋体" w:cs="宋体"/>
          <w:b/>
          <w:sz w:val="28"/>
          <w:szCs w:val="28"/>
        </w:rPr>
        <w:t>主要指标跨越增长。</w:t>
      </w:r>
      <w:r>
        <w:rPr>
          <w:rFonts w:hint="eastAsia" w:ascii="宋体" w:hAnsi="宋体" w:cs="宋体"/>
          <w:sz w:val="28"/>
          <w:szCs w:val="28"/>
        </w:rPr>
        <w:t>2025年接待国内游客4574.56万人次，年均增长约</w:t>
      </w:r>
      <w:r>
        <w:rPr>
          <w:rFonts w:ascii="宋体" w:hAnsi="宋体" w:cs="宋体"/>
          <w:sz w:val="28"/>
          <w:szCs w:val="28"/>
        </w:rPr>
        <w:t>18.19</w:t>
      </w:r>
      <w:r>
        <w:rPr>
          <w:rFonts w:hint="eastAsia" w:ascii="宋体" w:hAnsi="宋体" w:cs="宋体"/>
          <w:sz w:val="28"/>
          <w:szCs w:val="28"/>
        </w:rPr>
        <w:t>%；2025年游客总花费达303.02亿元，年均增长约</w:t>
      </w:r>
      <w:r>
        <w:rPr>
          <w:rFonts w:ascii="宋体" w:hAnsi="宋体" w:cs="宋体"/>
          <w:sz w:val="28"/>
          <w:szCs w:val="28"/>
        </w:rPr>
        <w:t>22.97</w:t>
      </w:r>
      <w:r>
        <w:rPr>
          <w:rFonts w:hint="eastAsia" w:ascii="宋体" w:hAnsi="宋体" w:cs="宋体"/>
          <w:sz w:val="28"/>
          <w:szCs w:val="28"/>
        </w:rPr>
        <w:t>%。</w:t>
      </w:r>
    </w:p>
    <w:p>
      <w:pPr>
        <w:adjustRightInd w:val="0"/>
        <w:snapToGrid w:val="0"/>
        <w:spacing w:before="120" w:beforeLines="50" w:after="120" w:afterLines="50" w:line="500" w:lineRule="atLeast"/>
        <w:ind w:firstLine="562" w:firstLineChars="200"/>
        <w:rPr>
          <w:rFonts w:hint="eastAsia" w:ascii="宋体" w:hAnsi="宋体" w:cs="宋体"/>
          <w:sz w:val="28"/>
          <w:szCs w:val="28"/>
        </w:rPr>
      </w:pPr>
      <w:r>
        <w:rPr>
          <w:rFonts w:hint="eastAsia" w:ascii="宋体" w:hAnsi="宋体" w:cs="宋体"/>
          <w:b/>
          <w:sz w:val="28"/>
          <w:szCs w:val="28"/>
        </w:rPr>
        <w:t>产品品质不断提升。</w:t>
      </w:r>
      <w:r>
        <w:rPr>
          <w:rFonts w:hint="eastAsia" w:ascii="宋体" w:hAnsi="宋体" w:cs="宋体"/>
          <w:sz w:val="28"/>
          <w:szCs w:val="28"/>
        </w:rPr>
        <w:t>共有3A级及以上旅游景区</w:t>
      </w:r>
      <w:r>
        <w:rPr>
          <w:rFonts w:ascii="宋体" w:hAnsi="宋体" w:cs="宋体"/>
          <w:sz w:val="28"/>
          <w:szCs w:val="28"/>
        </w:rPr>
        <w:t>4</w:t>
      </w:r>
      <w:r>
        <w:rPr>
          <w:rFonts w:hint="eastAsia" w:ascii="宋体" w:hAnsi="宋体" w:cs="宋体"/>
          <w:sz w:val="28"/>
          <w:szCs w:val="28"/>
        </w:rPr>
        <w:t>5家，其中5A级旅游景区</w:t>
      </w:r>
      <w:r>
        <w:rPr>
          <w:rFonts w:ascii="宋体" w:hAnsi="宋体" w:cs="宋体"/>
          <w:sz w:val="28"/>
          <w:szCs w:val="28"/>
        </w:rPr>
        <w:t>2</w:t>
      </w:r>
      <w:r>
        <w:rPr>
          <w:rFonts w:hint="eastAsia" w:ascii="宋体" w:hAnsi="宋体" w:cs="宋体"/>
          <w:sz w:val="28"/>
          <w:szCs w:val="28"/>
        </w:rPr>
        <w:t>家、4A级旅游景区</w:t>
      </w:r>
      <w:r>
        <w:rPr>
          <w:rFonts w:ascii="宋体" w:hAnsi="宋体" w:cs="宋体"/>
          <w:sz w:val="28"/>
          <w:szCs w:val="28"/>
        </w:rPr>
        <w:t>1</w:t>
      </w:r>
      <w:r>
        <w:rPr>
          <w:rFonts w:hint="eastAsia" w:ascii="宋体" w:hAnsi="宋体" w:cs="宋体"/>
          <w:sz w:val="28"/>
          <w:szCs w:val="28"/>
        </w:rPr>
        <w:t>3家、3A级旅游景区</w:t>
      </w:r>
      <w:r>
        <w:rPr>
          <w:rFonts w:ascii="宋体" w:hAnsi="宋体" w:cs="宋体"/>
          <w:sz w:val="28"/>
          <w:szCs w:val="28"/>
        </w:rPr>
        <w:t>3</w:t>
      </w:r>
      <w:r>
        <w:rPr>
          <w:rFonts w:hint="eastAsia" w:ascii="宋体" w:hAnsi="宋体" w:cs="宋体"/>
          <w:sz w:val="28"/>
          <w:szCs w:val="28"/>
        </w:rPr>
        <w:t>0家；国家级自然保护区</w:t>
      </w:r>
      <w:r>
        <w:rPr>
          <w:rFonts w:ascii="宋体" w:hAnsi="宋体" w:cs="宋体"/>
          <w:sz w:val="28"/>
          <w:szCs w:val="28"/>
        </w:rPr>
        <w:t>5</w:t>
      </w:r>
      <w:r>
        <w:rPr>
          <w:rFonts w:hint="eastAsia" w:ascii="宋体" w:hAnsi="宋体" w:cs="宋体"/>
          <w:sz w:val="28"/>
          <w:szCs w:val="28"/>
        </w:rPr>
        <w:t>家、国家湿地公园</w:t>
      </w:r>
      <w:r>
        <w:rPr>
          <w:rFonts w:ascii="宋体" w:hAnsi="宋体" w:cs="宋体"/>
          <w:sz w:val="28"/>
          <w:szCs w:val="28"/>
        </w:rPr>
        <w:t>4</w:t>
      </w:r>
      <w:r>
        <w:rPr>
          <w:rFonts w:hint="eastAsia" w:ascii="宋体" w:hAnsi="宋体" w:cs="宋体"/>
          <w:sz w:val="28"/>
          <w:szCs w:val="28"/>
        </w:rPr>
        <w:t>家、风景名胜区3家、国家森林公园</w:t>
      </w:r>
      <w:r>
        <w:rPr>
          <w:rFonts w:ascii="宋体" w:hAnsi="宋体" w:cs="宋体"/>
          <w:sz w:val="28"/>
          <w:szCs w:val="28"/>
        </w:rPr>
        <w:t>3</w:t>
      </w:r>
      <w:r>
        <w:rPr>
          <w:rFonts w:hint="eastAsia" w:ascii="宋体" w:hAnsi="宋体" w:cs="宋体"/>
          <w:sz w:val="28"/>
          <w:szCs w:val="28"/>
        </w:rPr>
        <w:t>家、国家级沙漠公园4家、自治区级地质公园1家；自治区级旅游度假区1家。</w:t>
      </w:r>
    </w:p>
    <w:p>
      <w:pPr>
        <w:adjustRightInd w:val="0"/>
        <w:snapToGrid w:val="0"/>
        <w:spacing w:before="120" w:beforeLines="50" w:after="120" w:afterLines="50" w:line="460" w:lineRule="atLeast"/>
        <w:ind w:firstLine="562" w:firstLineChars="200"/>
        <w:rPr>
          <w:rFonts w:hint="eastAsia" w:ascii="宋体" w:hAnsi="宋体" w:cs="宋体"/>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旅游交通快进慢游。</w:t>
      </w:r>
      <w:r>
        <w:rPr>
          <w:rFonts w:hint="eastAsia" w:ascii="宋体" w:hAnsi="宋体" w:cs="宋体"/>
          <w:color w:val="000000" w:themeColor="text1"/>
          <w:sz w:val="28"/>
          <w:szCs w:val="28"/>
          <w14:textFill>
            <w14:solidFill>
              <w14:schemeClr w14:val="tx1"/>
            </w14:solidFill>
          </w14:textFill>
        </w:rPr>
        <w:t>积极打造“快进慢游深体验”的引客留人环境，依托巴音布鲁克机场、环博斯腾湖旅游公路、那拉提至巴伦台公路打造北部旅游通道，依托策大雅至霍尔古吐公路、G216打造西部旅游通道，依托格库铁路、乌若高速、G218打造东部旅游通道，依托西和高速、G315打造南部旅游通道。重点打造环博斯腾湖水生态景观、天山风光自然景观、焉耆盆地葡萄酒景观、沙漠胡杨景观、金胡杨原生态景观、阿尔金山特种旅游景观等6条特色“慢游”廊道。2024年冠名乌鲁木齐至库尔勒列车“梨城号”，环博斯腾湖公路2024年9月15日建成通行，乌鲁木齐至尉犁高速公路（乌尉高速）2025年12月26日通车后，乌鲁木齐至尉犁时间缩短为3个半小时，提升了旅游可达性。</w:t>
      </w:r>
    </w:p>
    <w:p>
      <w:pPr>
        <w:adjustRightInd w:val="0"/>
        <w:snapToGrid w:val="0"/>
        <w:spacing w:before="120" w:beforeLines="50" w:after="120" w:afterLines="50" w:line="460" w:lineRule="atLeast"/>
        <w:ind w:firstLine="562" w:firstLineChars="200"/>
        <w:rPr>
          <w:rFonts w:hint="eastAsia" w:ascii="宋体" w:hAnsi="宋体" w:cs="宋体"/>
          <w:sz w:val="28"/>
          <w:szCs w:val="28"/>
        </w:rPr>
      </w:pPr>
      <w:r>
        <w:rPr>
          <w:rFonts w:hint="eastAsia" w:ascii="宋体" w:hAnsi="宋体" w:cs="宋体"/>
          <w:b/>
          <w:sz w:val="28"/>
          <w:szCs w:val="28"/>
        </w:rPr>
        <w:t>智慧旅游全域覆盖。</w:t>
      </w:r>
      <w:r>
        <w:rPr>
          <w:rFonts w:hint="eastAsia" w:ascii="宋体" w:hAnsi="宋体" w:cs="宋体"/>
          <w:sz w:val="28"/>
          <w:szCs w:val="28"/>
        </w:rPr>
        <w:t>5G网络景区全覆盖，智慧旅游服务A级景区全覆盖。巴音布鲁克景区、博斯腾湖景区智慧旅游平台建设及各景区智慧旅游小程序开发等应用，A级旅游景区已全部入驻“游新疆”平台，全州4A级以上旅游景区已全部接入自治区智慧旅游管理平台，均可稳定运行。全州3A级以上旅游景区实现WiFi信号全覆盖，主要旅游消费场所实现在线预订和网上支付。</w:t>
      </w:r>
    </w:p>
    <w:p>
      <w:pPr>
        <w:adjustRightInd w:val="0"/>
        <w:snapToGrid w:val="0"/>
        <w:spacing w:before="120" w:beforeLines="50" w:after="120" w:afterLines="50" w:line="480" w:lineRule="atLeast"/>
        <w:ind w:firstLine="562" w:firstLineChars="200"/>
        <w:rPr>
          <w:rFonts w:hint="eastAsia" w:ascii="宋体" w:hAnsi="宋体" w:cs="宋体"/>
          <w:sz w:val="28"/>
          <w:szCs w:val="28"/>
        </w:rPr>
      </w:pPr>
      <w:r>
        <w:rPr>
          <w:rFonts w:hint="eastAsia" w:ascii="宋体" w:hAnsi="宋体" w:cs="宋体"/>
          <w:b/>
          <w:sz w:val="28"/>
          <w:szCs w:val="28"/>
        </w:rPr>
        <w:t>旅游惠民措施有效。</w:t>
      </w:r>
      <w:r>
        <w:rPr>
          <w:rFonts w:hint="eastAsia" w:ascii="宋体" w:hAnsi="宋体" w:cs="宋体"/>
          <w:sz w:val="28"/>
          <w:szCs w:val="28"/>
        </w:rPr>
        <w:t>旅游淡季协调全州3A级以下旅游景区免费、4A级以上旅游景区实行半价优惠政策。与携程平台合作推出巴州文旅消费券和网购打折优惠，共计订单2.33万单，交易量3.11万人次。依托CBA夏季联赛（库尔勒站）、库尔勒半程马拉松等大型节庆赛事，推出“梨城票享惠”系列福利举措。</w:t>
      </w:r>
    </w:p>
    <w:p>
      <w:pPr>
        <w:adjustRightInd w:val="0"/>
        <w:snapToGrid w:val="0"/>
        <w:spacing w:before="120" w:beforeLines="50" w:after="120" w:afterLines="50" w:line="500" w:lineRule="atLeast"/>
        <w:ind w:firstLine="562" w:firstLineChars="200"/>
        <w:outlineLvl w:val="2"/>
        <w:rPr>
          <w:rFonts w:hint="eastAsia" w:ascii="宋体" w:hAnsi="宋体" w:cs="宋体"/>
          <w:b/>
          <w:sz w:val="28"/>
          <w:szCs w:val="28"/>
        </w:rPr>
      </w:pPr>
      <w:r>
        <w:rPr>
          <w:rFonts w:hint="eastAsia" w:ascii="宋体" w:hAnsi="宋体" w:cs="宋体"/>
          <w:b/>
          <w:sz w:val="28"/>
          <w:szCs w:val="28"/>
        </w:rPr>
        <w:t>三、体育工作成效突出</w:t>
      </w:r>
    </w:p>
    <w:p>
      <w:pPr>
        <w:adjustRightInd w:val="0"/>
        <w:snapToGrid w:val="0"/>
        <w:spacing w:before="120" w:beforeLines="50" w:after="120" w:afterLines="50" w:line="500" w:lineRule="atLeast"/>
        <w:ind w:firstLine="562" w:firstLineChars="200"/>
        <w:rPr>
          <w:rFonts w:hint="eastAsia" w:ascii="宋体" w:hAnsi="宋体" w:cs="宋体"/>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品牌赛事亮点纷呈。</w:t>
      </w:r>
      <w:r>
        <w:rPr>
          <w:rFonts w:hint="eastAsia" w:ascii="宋体" w:hAnsi="宋体" w:cs="宋体"/>
          <w:color w:val="000000" w:themeColor="text1"/>
          <w:sz w:val="28"/>
          <w:szCs w:val="28"/>
          <w14:textFill>
            <w14:solidFill>
              <w14:schemeClr w14:val="tx1"/>
            </w14:solidFill>
          </w14:textFill>
        </w:rPr>
        <w:t>成功承办2023年新疆第十四届运动会开闭幕式及竞技体育和群众体育赛事，举办环博斯腾湖自行车赛、焉耆“畅跑流沙河”马拉松（健康跑）、库尔勒马拉松赛、博斯腾湖汽车沙漠越野赛、全国海岸赛艇沙滩冲刺公开赛、全国沙滩排球赛、新疆博斯腾湖赛艇大师赛、中国皮划艇马拉松公开赛、中国足球协会5人制超级联赛、中国体育彩票2025年全国新年登高健身大会、2025年全国沙滩排球巡回赛、博斯腾湖“西海秦博杯”帆船邀请赛等赛事活动，吸引游客“跟着赛事来旅行”。</w:t>
      </w:r>
    </w:p>
    <w:p>
      <w:pPr>
        <w:adjustRightInd w:val="0"/>
        <w:snapToGrid w:val="0"/>
        <w:spacing w:before="120" w:beforeLines="50" w:after="120" w:afterLines="50" w:line="500" w:lineRule="atLeast"/>
        <w:ind w:firstLine="562" w:firstLineChars="200"/>
        <w:rPr>
          <w:rFonts w:hint="eastAsia" w:ascii="宋体" w:hAnsi="宋体" w:cs="宋体"/>
          <w:sz w:val="28"/>
          <w:szCs w:val="28"/>
        </w:rPr>
      </w:pPr>
      <w:r>
        <w:rPr>
          <w:rFonts w:hint="eastAsia" w:ascii="宋体" w:hAnsi="宋体" w:cs="宋体"/>
          <w:b/>
          <w:sz w:val="28"/>
          <w:szCs w:val="28"/>
        </w:rPr>
        <w:t>全民健身设施升级。</w:t>
      </w:r>
      <w:r>
        <w:rPr>
          <w:rFonts w:hint="eastAsia" w:ascii="宋体" w:hAnsi="宋体" w:cs="宋体"/>
          <w:sz w:val="28"/>
          <w:szCs w:val="28"/>
        </w:rPr>
        <w:t>推进“体育生活化”，利用城市空闲地、边角地等空间资源，建设“15分钟健身圈”。重点建成一批中小型体育场馆，着力推进健身步道、县级体育场、社会足球场、社区多功能运动场建设。2</w:t>
      </w:r>
      <w:r>
        <w:rPr>
          <w:rFonts w:ascii="宋体" w:hAnsi="宋体" w:cs="宋体"/>
          <w:sz w:val="28"/>
          <w:szCs w:val="28"/>
        </w:rPr>
        <w:t>024</w:t>
      </w:r>
      <w:r>
        <w:rPr>
          <w:rFonts w:hint="eastAsia" w:ascii="宋体" w:hAnsi="宋体" w:cs="宋体"/>
          <w:sz w:val="28"/>
          <w:szCs w:val="28"/>
        </w:rPr>
        <w:t>年启动9个多功能运动场建设项目，分别建于八县一市；建设了巴音郭楞体育公园、焉耆县体育公园、和静县多功能运动场、巴州田径足球场、和静县十一人制足球场、焉耆县十一人制足球场、和硕县十一人制足球场、博湖县7人制足球场项目。</w:t>
      </w:r>
    </w:p>
    <w:p>
      <w:pPr>
        <w:adjustRightInd w:val="0"/>
        <w:snapToGrid w:val="0"/>
        <w:spacing w:before="120" w:beforeLines="50" w:after="120" w:afterLines="50" w:line="500" w:lineRule="atLeast"/>
        <w:ind w:firstLine="562" w:firstLineChars="200"/>
        <w:outlineLvl w:val="2"/>
        <w:rPr>
          <w:rFonts w:hint="eastAsia" w:ascii="宋体" w:hAnsi="宋体" w:cs="宋体"/>
          <w:b/>
          <w:sz w:val="28"/>
          <w:szCs w:val="28"/>
        </w:rPr>
      </w:pPr>
      <w:r>
        <w:rPr>
          <w:rFonts w:hint="eastAsia" w:ascii="宋体" w:hAnsi="宋体" w:cs="宋体"/>
          <w:b/>
          <w:sz w:val="28"/>
          <w:szCs w:val="28"/>
        </w:rPr>
        <w:t>四、文旅融合持续深化</w:t>
      </w:r>
    </w:p>
    <w:p>
      <w:pPr>
        <w:adjustRightInd w:val="0"/>
        <w:snapToGrid w:val="0"/>
        <w:spacing w:before="120" w:beforeLines="50" w:after="120" w:afterLines="50" w:line="500" w:lineRule="atLeast"/>
        <w:ind w:firstLine="562" w:firstLineChars="200"/>
        <w:rPr>
          <w:rFonts w:hint="eastAsia" w:ascii="宋体" w:hAnsi="宋体" w:cs="宋体"/>
          <w:sz w:val="28"/>
          <w:szCs w:val="28"/>
        </w:rPr>
      </w:pPr>
      <w:r>
        <w:rPr>
          <w:rFonts w:hint="eastAsia" w:ascii="宋体" w:hAnsi="宋体" w:cs="宋体"/>
          <w:b/>
          <w:sz w:val="28"/>
          <w:szCs w:val="28"/>
        </w:rPr>
        <w:t>融合业态不断创新。</w:t>
      </w:r>
      <w:r>
        <w:rPr>
          <w:rFonts w:hint="eastAsia" w:ascii="宋体" w:hAnsi="宋体" w:cs="宋体"/>
          <w:sz w:val="28"/>
          <w:szCs w:val="28"/>
        </w:rPr>
        <w:t>制定旅游促“三交”工作要点，提出10个方面41项措施。发布《库尔勒体育公园景区：构建旅游休闲综合体、打造各民族交流“欢乐园”》《东归生态公园景区：用生态文明实践成果讲好东归爱国主义故事》等旅游促“三交”十大典型案例。开展从业人员培训，完善导游词、讲解词，讲好民族团结故事。推进《东归</w:t>
      </w:r>
      <w:r>
        <w:rPr>
          <w:rFonts w:hint="eastAsia" w:ascii="宋体" w:hAnsi="宋体" w:cs="宋体"/>
          <w:sz w:val="28"/>
          <w:szCs w:val="28"/>
          <w:lang w:val="en-US" w:eastAsia="zh-CN"/>
        </w:rPr>
        <w:t>·</w:t>
      </w:r>
      <w:r>
        <w:rPr>
          <w:rFonts w:hint="eastAsia" w:ascii="宋体" w:hAnsi="宋体" w:cs="宋体"/>
          <w:sz w:val="28"/>
          <w:szCs w:val="28"/>
        </w:rPr>
        <w:t>印象》舞台剧在景区常态化演出，展现多民族共同奋斗史。焉耆县七个星佛寺遗址、罗布人村寨入选新疆旅游促“三交”示范景区，红色达西景区、尉犁县丝绸之路·长城文化博物馆、轮台县西域都护府博物馆、和硕县马兰红山军博园成为旅游促“三交”典型案例。</w:t>
      </w:r>
    </w:p>
    <w:p>
      <w:pPr>
        <w:adjustRightInd w:val="0"/>
        <w:snapToGrid w:val="0"/>
        <w:spacing w:before="120" w:beforeLines="50" w:after="120" w:afterLines="50" w:line="500" w:lineRule="atLeast"/>
        <w:ind w:firstLine="562" w:firstLineChars="200"/>
        <w:rPr>
          <w:rFonts w:hint="eastAsia" w:ascii="宋体" w:hAnsi="宋体" w:cs="宋体"/>
          <w:sz w:val="28"/>
          <w:szCs w:val="28"/>
        </w:rPr>
      </w:pPr>
      <w:r>
        <w:rPr>
          <w:rFonts w:hint="eastAsia" w:ascii="宋体" w:hAnsi="宋体" w:cs="宋体"/>
          <w:b/>
          <w:sz w:val="28"/>
          <w:szCs w:val="28"/>
        </w:rPr>
        <w:t>重点项目带动强劲。</w:t>
      </w:r>
      <w:r>
        <w:rPr>
          <w:rFonts w:hint="eastAsia" w:ascii="宋体" w:hAnsi="宋体" w:cs="宋体"/>
          <w:sz w:val="28"/>
          <w:szCs w:val="28"/>
        </w:rPr>
        <w:t>2023—2025年持续完善巴音布鲁克、博斯腾湖、罗布人村寨等龙头景区基础设施及配套服务，重点推进巴音布鲁克景区和博斯腾湖景区提质升级、罗布人村寨创建国家5A级旅游景区，加快完成金沙滩、红蝶谷、霍拉山、胡杨林公园等重要景区改造，大力开发建设库尔勒铁门关、罗布湖和葫芦岛、且末托盖布拉克等特色景区。</w:t>
      </w:r>
    </w:p>
    <w:p>
      <w:pPr>
        <w:adjustRightInd w:val="0"/>
        <w:snapToGrid w:val="0"/>
        <w:spacing w:before="120" w:beforeLines="50" w:after="120" w:afterLines="50" w:line="500" w:lineRule="atLeast"/>
        <w:ind w:firstLine="562" w:firstLineChars="200"/>
        <w:outlineLvl w:val="2"/>
        <w:rPr>
          <w:rFonts w:hint="eastAsia" w:ascii="宋体" w:hAnsi="宋体" w:cs="宋体"/>
          <w:b/>
          <w:sz w:val="28"/>
          <w:szCs w:val="28"/>
        </w:rPr>
      </w:pPr>
      <w:r>
        <w:rPr>
          <w:rFonts w:hint="eastAsia" w:ascii="宋体" w:hAnsi="宋体" w:cs="宋体"/>
          <w:b/>
          <w:sz w:val="28"/>
          <w:szCs w:val="28"/>
        </w:rPr>
        <w:t>五、品牌建设成绩斐然</w:t>
      </w:r>
    </w:p>
    <w:p>
      <w:pPr>
        <w:adjustRightInd w:val="0"/>
        <w:snapToGrid w:val="0"/>
        <w:spacing w:before="120" w:beforeLines="50" w:after="120" w:afterLines="50" w:line="500" w:lineRule="atLeast"/>
        <w:ind w:firstLine="562" w:firstLineChars="200"/>
        <w:rPr>
          <w:rFonts w:hint="eastAsia" w:ascii="宋体" w:hAnsi="宋体" w:cs="宋体"/>
          <w:sz w:val="28"/>
          <w:szCs w:val="28"/>
        </w:rPr>
      </w:pPr>
      <w:r>
        <w:rPr>
          <w:rFonts w:hint="eastAsia" w:ascii="宋体" w:hAnsi="宋体" w:cs="宋体"/>
          <w:b/>
          <w:sz w:val="28"/>
          <w:szCs w:val="28"/>
        </w:rPr>
        <w:t>形象品牌持续擦亮。</w:t>
      </w:r>
      <w:r>
        <w:rPr>
          <w:rFonts w:hint="eastAsia" w:ascii="宋体" w:hAnsi="宋体" w:cs="宋体"/>
          <w:sz w:val="28"/>
          <w:szCs w:val="28"/>
        </w:rPr>
        <w:t>持续打响“丝路山水·壮美巴州”形象品牌，擦亮“山水、草原、胡杨、红色、民俗”五张名片，努力将巴州建成全域旅游示范区、南疆乃至新疆重要的旅游目的地。挖掘巴州红色旅游和研学旅游资源，以马兰军博园的“两弹一星”精神为核心，打造全国红色旅游经典景区；以巴州博物馆、罗布人村寨、铁门关、红色达西等文化旅游景区为依托，深化主题品牌创建，打造国家研学旅游基地，提升巴州研学旅游的综合吸引力和品牌认知度。</w:t>
      </w:r>
    </w:p>
    <w:p>
      <w:pPr>
        <w:adjustRightInd w:val="0"/>
        <w:snapToGrid w:val="0"/>
        <w:spacing w:before="120" w:beforeLines="50" w:after="120" w:afterLines="50" w:line="500" w:lineRule="atLeast"/>
        <w:ind w:firstLine="562" w:firstLineChars="200"/>
        <w:rPr>
          <w:rFonts w:hint="eastAsia" w:ascii="宋体" w:hAnsi="宋体" w:cs="宋体"/>
          <w:sz w:val="28"/>
          <w:szCs w:val="28"/>
        </w:rPr>
      </w:pPr>
      <w:r>
        <w:rPr>
          <w:rFonts w:hint="eastAsia" w:ascii="宋体" w:hAnsi="宋体" w:cs="宋体"/>
          <w:b/>
          <w:sz w:val="28"/>
          <w:szCs w:val="28"/>
        </w:rPr>
        <w:t>品牌推广成效显著。</w:t>
      </w:r>
      <w:r>
        <w:rPr>
          <w:rFonts w:hint="eastAsia" w:ascii="宋体" w:hAnsi="宋体" w:cs="宋体"/>
          <w:sz w:val="28"/>
          <w:szCs w:val="28"/>
        </w:rPr>
        <w:t>在CCTV-7、17频道黄金时段播放文旅宣传片，在乌鲁木齐高铁站投放旅游广告，用石家庄灯光秀推介巴州。在各级媒体累计发布文旅信息1.9万余条，吸引全国各地游客“打卡巴州”。积极参加“四省十二城”旅游联盟、“荒野之旅 探秘新疆”新疆特种旅游节、港澳·投资新疆经贸文化交流活动，拍摄100部短视频在抖音、快手、微信视频号等平台播发，持续提升“丝路山水·壮美巴州”形象品牌影响力。</w:t>
      </w:r>
    </w:p>
    <w:p>
      <w:pPr>
        <w:adjustRightInd w:val="0"/>
        <w:snapToGrid w:val="0"/>
        <w:spacing w:before="240" w:beforeLines="100" w:after="240" w:afterLines="100" w:line="500" w:lineRule="atLeast"/>
        <w:jc w:val="center"/>
        <w:outlineLvl w:val="1"/>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第二节  机遇挑战</w:t>
      </w:r>
    </w:p>
    <w:p>
      <w:pPr>
        <w:adjustRightInd w:val="0"/>
        <w:snapToGrid w:val="0"/>
        <w:spacing w:before="120" w:beforeLines="50" w:after="120" w:afterLines="50" w:line="500" w:lineRule="atLeast"/>
        <w:ind w:firstLine="562" w:firstLineChars="200"/>
        <w:outlineLvl w:val="2"/>
        <w:rPr>
          <w:rFonts w:hint="eastAsia" w:ascii="宋体" w:hAnsi="宋体" w:cs="宋体"/>
          <w:b/>
          <w:sz w:val="28"/>
          <w:szCs w:val="28"/>
        </w:rPr>
      </w:pPr>
      <w:r>
        <w:rPr>
          <w:rFonts w:hint="eastAsia" w:ascii="宋体" w:hAnsi="宋体" w:cs="宋体"/>
          <w:b/>
          <w:sz w:val="28"/>
          <w:szCs w:val="28"/>
        </w:rPr>
        <w:t>一、发展机遇</w:t>
      </w:r>
    </w:p>
    <w:p>
      <w:pPr>
        <w:adjustRightInd w:val="0"/>
        <w:snapToGrid w:val="0"/>
        <w:spacing w:before="120" w:beforeLines="50" w:after="120" w:afterLines="50" w:line="500" w:lineRule="atLeast"/>
        <w:ind w:firstLine="562" w:firstLineChars="200"/>
        <w:rPr>
          <w:rFonts w:hint="eastAsia" w:ascii="宋体" w:hAnsi="宋体" w:cs="宋体"/>
          <w:sz w:val="28"/>
          <w:szCs w:val="28"/>
        </w:rPr>
      </w:pPr>
      <w:r>
        <w:rPr>
          <w:rFonts w:hint="eastAsia" w:ascii="宋体" w:hAnsi="宋体" w:cs="宋体"/>
          <w:b/>
          <w:sz w:val="28"/>
          <w:szCs w:val="28"/>
        </w:rPr>
        <w:t>（一）国家战略与南疆文旅优先。</w:t>
      </w:r>
      <w:r>
        <w:rPr>
          <w:rFonts w:hint="eastAsia" w:ascii="宋体" w:hAnsi="宋体" w:cs="宋体"/>
          <w:sz w:val="28"/>
          <w:szCs w:val="28"/>
        </w:rPr>
        <w:t>新疆“五大战略定位”、习近平总书记关于新疆文化和旅游发展的重要指示，为“文化润疆”与“旅游兴疆”战略指明新方向。对口援疆、兵地融合创新为文旅协同发展提供更强支撑，深入推进丝绸之路经济带建设有利于入境旅游和国际交流合作。自治区“南疆文旅优先”、“东疆文旅协同”两个重大举措为巴州文化和旅游发展提供更大支持。</w:t>
      </w:r>
    </w:p>
    <w:p>
      <w:pPr>
        <w:adjustRightInd w:val="0"/>
        <w:snapToGrid w:val="0"/>
        <w:spacing w:before="120" w:beforeLines="50" w:after="120" w:afterLines="50" w:line="500" w:lineRule="atLeast"/>
        <w:ind w:firstLine="562" w:firstLineChars="200"/>
        <w:rPr>
          <w:rFonts w:hint="eastAsia" w:ascii="宋体" w:hAnsi="宋体" w:cs="宋体"/>
          <w:sz w:val="28"/>
          <w:szCs w:val="28"/>
        </w:rPr>
      </w:pPr>
      <w:r>
        <w:rPr>
          <w:rFonts w:hint="eastAsia" w:ascii="宋体" w:hAnsi="宋体" w:cs="宋体"/>
          <w:b/>
          <w:sz w:val="28"/>
          <w:szCs w:val="28"/>
        </w:rPr>
        <w:t>（二）交通网络完善与市场扩容。</w:t>
      </w:r>
      <w:r>
        <w:rPr>
          <w:rFonts w:hint="eastAsia" w:ascii="宋体" w:hAnsi="宋体" w:cs="宋体"/>
          <w:sz w:val="28"/>
          <w:szCs w:val="28"/>
        </w:rPr>
        <w:t>“快进慢游”综合文旅交通体系加速成网。若羌至民丰高速公路、格尔木至库尔勒铁路、巴音布鲁克民用机场、胜利隧道与乌若高速等重大交通项目的推进与建成及建设中的那巴高速、伊阿铁路、独库高速、轮巴公路（霍拉山峡谷公路），初步形成“公路、铁路、航空”立体化交通网络。</w:t>
      </w:r>
    </w:p>
    <w:p>
      <w:pPr>
        <w:adjustRightInd w:val="0"/>
        <w:snapToGrid w:val="0"/>
        <w:spacing w:before="120" w:beforeLines="50" w:after="120" w:afterLines="50" w:line="480" w:lineRule="atLeast"/>
        <w:ind w:firstLine="562" w:firstLineChars="200"/>
        <w:rPr>
          <w:rFonts w:hint="eastAsia" w:ascii="宋体" w:hAnsi="宋体" w:cs="宋体"/>
          <w:sz w:val="28"/>
          <w:szCs w:val="28"/>
        </w:rPr>
      </w:pPr>
      <w:r>
        <w:rPr>
          <w:rFonts w:hint="eastAsia" w:ascii="宋体" w:hAnsi="宋体" w:cs="宋体"/>
          <w:b/>
          <w:sz w:val="28"/>
          <w:szCs w:val="28"/>
        </w:rPr>
        <w:t>（三）文旅消费提振与转型升级。</w:t>
      </w:r>
      <w:r>
        <w:rPr>
          <w:rFonts w:hint="eastAsia" w:ascii="宋体" w:hAnsi="宋体" w:cs="宋体"/>
          <w:bCs/>
          <w:sz w:val="28"/>
          <w:szCs w:val="28"/>
        </w:rPr>
        <w:t>大力提振文旅消费为巴州文化和旅游发展提供强大动能，</w:t>
      </w:r>
      <w:r>
        <w:rPr>
          <w:rFonts w:hint="eastAsia" w:ascii="宋体" w:hAnsi="宋体" w:cs="宋体"/>
          <w:sz w:val="28"/>
          <w:szCs w:val="28"/>
        </w:rPr>
        <w:t>政策引导消费潜力释放，有助于激发居民文旅消费意愿，为巴州文旅市场带来持续活力。消费结构升级与需求多元化，“Z世代”成为消费新力量，形成对自然生态、民俗文化、户外运动、沉浸式体验的旺盛需求，为巴州文旅创新、深度融合带来长效市场空间，有利于产业转型升级、产品业态创新。</w:t>
      </w:r>
    </w:p>
    <w:p>
      <w:pPr>
        <w:adjustRightInd w:val="0"/>
        <w:snapToGrid w:val="0"/>
        <w:spacing w:before="120" w:beforeLines="50" w:after="120" w:afterLines="50" w:line="500" w:lineRule="atLeast"/>
        <w:ind w:firstLine="562" w:firstLineChars="200"/>
        <w:rPr>
          <w:rFonts w:hint="eastAsia" w:ascii="宋体" w:hAnsi="宋体" w:cs="宋体"/>
          <w:sz w:val="28"/>
          <w:szCs w:val="28"/>
        </w:rPr>
      </w:pPr>
      <w:r>
        <w:rPr>
          <w:rFonts w:hint="eastAsia" w:ascii="宋体" w:hAnsi="宋体" w:cs="宋体"/>
          <w:b/>
          <w:sz w:val="28"/>
          <w:szCs w:val="28"/>
        </w:rPr>
        <w:t>（四）科技赋能智慧文旅发展。</w:t>
      </w:r>
      <w:r>
        <w:rPr>
          <w:rFonts w:hint="eastAsia" w:ascii="宋体" w:hAnsi="宋体" w:cs="宋体"/>
          <w:sz w:val="28"/>
          <w:szCs w:val="28"/>
        </w:rPr>
        <w:t>文旅资源数字化保护与创新利用，有利于文物保护，也能开发线上云游览、沉浸式体验馆等新业态，突破时空限制，扩大文化影响力。主客共享、服务升级与智慧管理平台建设，能够实现旅游市场的精准营销和行业管理的科学决策。科技赋能催生文旅AI、数字艺术展览、线上演艺、文创IP衍生开发等新业态、新型传播手段。</w:t>
      </w:r>
    </w:p>
    <w:p>
      <w:pPr>
        <w:adjustRightInd w:val="0"/>
        <w:snapToGrid w:val="0"/>
        <w:spacing w:before="120" w:beforeLines="50" w:after="120" w:afterLines="50" w:line="500" w:lineRule="atLeast"/>
        <w:ind w:firstLine="562" w:firstLineChars="200"/>
        <w:outlineLvl w:val="2"/>
        <w:rPr>
          <w:rFonts w:hint="eastAsia" w:ascii="宋体" w:hAnsi="宋体" w:cs="宋体"/>
          <w:b/>
          <w:sz w:val="28"/>
          <w:szCs w:val="28"/>
        </w:rPr>
      </w:pPr>
      <w:r>
        <w:rPr>
          <w:rFonts w:hint="eastAsia" w:ascii="宋体" w:hAnsi="宋体" w:cs="宋体"/>
          <w:b/>
          <w:sz w:val="28"/>
          <w:szCs w:val="28"/>
        </w:rPr>
        <w:t>二、面临挑战</w:t>
      </w:r>
    </w:p>
    <w:p>
      <w:pPr>
        <w:adjustRightInd w:val="0"/>
        <w:snapToGrid w:val="0"/>
        <w:spacing w:before="120" w:beforeLines="50" w:after="120" w:afterLines="50" w:line="460" w:lineRule="atLeast"/>
        <w:ind w:firstLine="562" w:firstLineChars="200"/>
        <w:rPr>
          <w:rFonts w:hint="eastAsia" w:ascii="宋体" w:hAnsi="宋体" w:cs="宋体"/>
          <w:sz w:val="28"/>
          <w:szCs w:val="28"/>
        </w:rPr>
      </w:pPr>
      <w:r>
        <w:rPr>
          <w:rFonts w:hint="eastAsia" w:ascii="宋体" w:hAnsi="宋体" w:cs="宋体"/>
          <w:b/>
          <w:sz w:val="28"/>
          <w:szCs w:val="28"/>
        </w:rPr>
        <w:t>（一）主线要求更加突出。</w:t>
      </w:r>
      <w:r>
        <w:rPr>
          <w:rFonts w:hint="eastAsia" w:ascii="宋体" w:hAnsi="宋体" w:cs="宋体"/>
          <w:bCs/>
          <w:sz w:val="28"/>
          <w:szCs w:val="28"/>
        </w:rPr>
        <w:t>铸牢中华民族共同体意识主线在文化事业、文化产业和旅游业发展中的要求更加突出，要进一步树立战略思维，全面谋划文化润疆、旅游兴疆，增进各族群众“五个认同”。</w:t>
      </w:r>
    </w:p>
    <w:p>
      <w:pPr>
        <w:adjustRightInd w:val="0"/>
        <w:snapToGrid w:val="0"/>
        <w:spacing w:before="120" w:beforeLines="50" w:after="120" w:afterLines="50" w:line="460" w:lineRule="atLeast"/>
        <w:ind w:firstLine="562" w:firstLineChars="200"/>
        <w:rPr>
          <w:rFonts w:hint="eastAsia" w:ascii="宋体" w:hAnsi="宋体" w:cs="宋体"/>
          <w:sz w:val="28"/>
          <w:szCs w:val="28"/>
        </w:rPr>
      </w:pPr>
      <w:r>
        <w:rPr>
          <w:rFonts w:hint="eastAsia" w:ascii="宋体" w:hAnsi="宋体" w:cs="宋体"/>
          <w:b/>
          <w:sz w:val="28"/>
          <w:szCs w:val="28"/>
        </w:rPr>
        <w:t>（二）集群发展任务艰巨。</w:t>
      </w:r>
      <w:r>
        <w:rPr>
          <w:rFonts w:hint="eastAsia" w:ascii="宋体" w:hAnsi="宋体" w:cs="宋体"/>
          <w:sz w:val="28"/>
          <w:szCs w:val="28"/>
        </w:rPr>
        <w:t>巴州文旅资源丰富但分布较为分散，需要深入挖掘与阐释文化内涵，要加快构建与优化文旅产业集群布局，南疆优先、东疆协同带来新的挑战。</w:t>
      </w:r>
    </w:p>
    <w:p>
      <w:pPr>
        <w:adjustRightInd w:val="0"/>
        <w:snapToGrid w:val="0"/>
        <w:spacing w:before="120" w:beforeLines="50" w:after="120" w:afterLines="50" w:line="460" w:lineRule="atLeast"/>
        <w:ind w:firstLine="562" w:firstLineChars="200"/>
        <w:rPr>
          <w:rFonts w:hint="eastAsia" w:ascii="宋体" w:hAnsi="宋体" w:cs="宋体"/>
          <w:sz w:val="28"/>
          <w:szCs w:val="28"/>
        </w:rPr>
      </w:pPr>
      <w:r>
        <w:rPr>
          <w:rFonts w:hint="eastAsia" w:ascii="宋体" w:hAnsi="宋体" w:cs="宋体"/>
          <w:b/>
          <w:sz w:val="28"/>
          <w:szCs w:val="28"/>
        </w:rPr>
        <w:t>（三）产业体系急需完善。</w:t>
      </w:r>
      <w:r>
        <w:rPr>
          <w:rFonts w:hint="eastAsia" w:ascii="宋体" w:hAnsi="宋体" w:cs="宋体"/>
          <w:sz w:val="28"/>
          <w:szCs w:val="28"/>
        </w:rPr>
        <w:t>新兴业态的培育和供给仍显不足，要大力推进“农文旅体商”融合发展，丰富产品供给。大空间、大集群的现代化文旅产业体系须加快完善，南部文旅急待加强。</w:t>
      </w:r>
    </w:p>
    <w:p>
      <w:pPr>
        <w:adjustRightInd w:val="0"/>
        <w:snapToGrid w:val="0"/>
        <w:spacing w:before="120" w:beforeLines="50" w:after="120" w:afterLines="50" w:line="460" w:lineRule="atLeast"/>
        <w:ind w:firstLine="562" w:firstLineChars="200"/>
        <w:rPr>
          <w:rFonts w:hint="eastAsia" w:ascii="宋体" w:hAnsi="宋体" w:cs="宋体"/>
          <w:sz w:val="28"/>
          <w:szCs w:val="28"/>
        </w:rPr>
      </w:pPr>
      <w:r>
        <w:rPr>
          <w:rFonts w:hint="eastAsia" w:ascii="宋体" w:hAnsi="宋体" w:cs="宋体"/>
          <w:b/>
          <w:sz w:val="28"/>
          <w:szCs w:val="28"/>
        </w:rPr>
        <w:t>（四）服务设施存在短板。</w:t>
      </w:r>
      <w:r>
        <w:rPr>
          <w:rFonts w:hint="eastAsia" w:ascii="宋体" w:hAnsi="宋体" w:cs="宋体"/>
          <w:bCs/>
          <w:sz w:val="28"/>
          <w:szCs w:val="28"/>
        </w:rPr>
        <w:t>文化公共服务设施须提升服务能力、创新服务方式；</w:t>
      </w:r>
      <w:r>
        <w:rPr>
          <w:rFonts w:hint="eastAsia" w:ascii="宋体" w:hAnsi="宋体" w:cs="宋体"/>
          <w:sz w:val="28"/>
          <w:szCs w:val="28"/>
        </w:rPr>
        <w:t>旅游公共服务设施不足，须加大投入、合理布局、提升品质、强化服务，满足日益增长的文旅服务需求。</w:t>
      </w:r>
    </w:p>
    <w:p>
      <w:pPr>
        <w:adjustRightInd w:val="0"/>
        <w:snapToGrid w:val="0"/>
        <w:spacing w:before="120" w:beforeLines="50" w:after="120" w:afterLines="50" w:line="460" w:lineRule="atLeast"/>
        <w:ind w:firstLine="562" w:firstLineChars="200"/>
        <w:rPr>
          <w:rFonts w:hint="eastAsia" w:ascii="宋体" w:hAnsi="宋体" w:cs="宋体"/>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（五）用地与生态约束强。</w:t>
      </w:r>
      <w:r>
        <w:rPr>
          <w:rFonts w:hint="eastAsia" w:ascii="宋体" w:hAnsi="宋体" w:cs="宋体"/>
          <w:bCs/>
          <w:color w:val="000000" w:themeColor="text1"/>
          <w:sz w:val="28"/>
          <w:szCs w:val="28"/>
          <w14:textFill>
            <w14:solidFill>
              <w14:schemeClr w14:val="tx1"/>
            </w14:solidFill>
          </w14:textFill>
        </w:rPr>
        <w:t>“两山一盆”的自然景观与城镇建设用地边界，使大部分文旅项目在</w:t>
      </w:r>
      <w:r>
        <w:rPr>
          <w:rFonts w:hint="eastAsia" w:ascii="宋体" w:hAnsi="宋体" w:cs="宋体"/>
          <w:color w:val="000000" w:themeColor="text1"/>
          <w:sz w:val="28"/>
          <w:szCs w:val="28"/>
          <w14:textFill>
            <w14:solidFill>
              <w14:schemeClr w14:val="tx1"/>
            </w14:solidFill>
          </w14:textFill>
        </w:rPr>
        <w:t>用地审批、保护地准入、不可避让生态保护红线等面临硬约束，高水平环保与高质量发展须相得益彰。</w:t>
      </w:r>
    </w:p>
    <w:p>
      <w:pPr>
        <w:adjustRightInd w:val="0"/>
        <w:snapToGrid w:val="0"/>
        <w:spacing w:before="360" w:beforeLines="150" w:after="360" w:afterLines="150" w:line="500" w:lineRule="atLeast"/>
        <w:jc w:val="center"/>
        <w:outlineLvl w:val="0"/>
        <w:rPr>
          <w:rFonts w:hint="eastAsia" w:ascii="黑体" w:hAnsi="黑体" w:eastAsia="黑体" w:cs="黑体"/>
          <w:sz w:val="28"/>
          <w:szCs w:val="28"/>
        </w:rPr>
      </w:pPr>
      <w:r>
        <w:rPr>
          <w:rFonts w:hint="eastAsia" w:ascii="黑体" w:hAnsi="黑体" w:eastAsia="黑体" w:cs="黑体"/>
          <w:sz w:val="28"/>
          <w:szCs w:val="28"/>
        </w:rPr>
        <w:t>第二章  总体要求</w:t>
      </w:r>
    </w:p>
    <w:p>
      <w:pPr>
        <w:adjustRightInd w:val="0"/>
        <w:snapToGrid w:val="0"/>
        <w:spacing w:before="240" w:beforeLines="100" w:after="240" w:afterLines="100" w:line="500" w:lineRule="atLeast"/>
        <w:jc w:val="center"/>
        <w:outlineLvl w:val="1"/>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第一节  指导思想</w:t>
      </w:r>
    </w:p>
    <w:p>
      <w:pPr>
        <w:adjustRightInd w:val="0"/>
        <w:snapToGrid w:val="0"/>
        <w:spacing w:before="120" w:beforeLines="50" w:after="120" w:afterLines="50" w:line="480" w:lineRule="atLeast"/>
        <w:ind w:firstLine="560" w:firstLineChars="200"/>
        <w:rPr>
          <w:rFonts w:hint="eastAsia"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坚持马克思列宁主义、毛泽东思想、邓小平理论、“三个代表”重要思想、科学发展观，深入贯彻党的二十大和二十届历次全会精神，全面贯彻习近平新时代中国特色社会主义思想，深入落实习近平总书记关于新疆工作的重要讲话重要指示批示精神，完整准确全面贯彻新发展理念和新时代党的治疆方略，瞄准“五大战略定位”，牢牢扭住社会稳定和长治久安工作总目标，牢牢把握铸牢中华民族共同体意识主线，进一步扎实推进文化润疆和旅游兴疆，推动文化繁荣兴盛、旅游行稳致远，用好“南疆优先”战略、加强东疆协同，以激发文化创新创造活力为中心，大力提振文旅消费，推进文化和旅游深度融合，激发冰雪经济活力，全面构建“双环线、双门户”全域文旅新格局，集力打造“天山、博湖、塔沙、昆仑、西域”五大文旅产业集群，挖掘马兰红色资源，发挥重大文旅项目带动作用，提供优质文化和旅游产品，展现新时代“丝路山水·壮美巴州”品牌形象，全面建设高水平南疆旅游目的地、高能级全景文化巴州，为巴州高质量发展提供坚实文旅支撑。</w:t>
      </w:r>
    </w:p>
    <w:p>
      <w:pPr>
        <w:adjustRightInd w:val="0"/>
        <w:snapToGrid w:val="0"/>
        <w:spacing w:before="240" w:beforeLines="100" w:after="240" w:afterLines="100" w:line="500" w:lineRule="atLeast"/>
        <w:jc w:val="center"/>
        <w:outlineLvl w:val="1"/>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第二节  基本原则</w:t>
      </w:r>
    </w:p>
    <w:p>
      <w:pPr>
        <w:adjustRightInd w:val="0"/>
        <w:snapToGrid w:val="0"/>
        <w:spacing w:before="120" w:beforeLines="50" w:after="120" w:afterLines="50" w:line="500" w:lineRule="atLeast"/>
        <w:ind w:firstLine="562" w:firstLineChars="200"/>
        <w:rPr>
          <w:rFonts w:hint="eastAsia" w:ascii="宋体" w:hAnsi="宋体" w:cs="宋体"/>
          <w:b/>
          <w:sz w:val="28"/>
          <w:szCs w:val="28"/>
        </w:rPr>
      </w:pPr>
      <w:r>
        <w:rPr>
          <w:rFonts w:hint="eastAsia" w:ascii="宋体" w:hAnsi="宋体" w:cs="宋体"/>
          <w:b/>
          <w:sz w:val="28"/>
          <w:szCs w:val="28"/>
        </w:rPr>
        <w:t>一、坚持党的领导</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必须坚持党的全面领导，将铸牢中华民族共同体意识融入文化和旅游发展全过程、各环节，推进“文旅+百业”深度融合发展，用文化赋能巴州经济社会发展各领域、各层面，全面提高社会文明程度。</w:t>
      </w:r>
    </w:p>
    <w:p>
      <w:pPr>
        <w:adjustRightInd w:val="0"/>
        <w:snapToGrid w:val="0"/>
        <w:spacing w:before="120" w:beforeLines="50" w:after="120" w:afterLines="50" w:line="500" w:lineRule="atLeast"/>
        <w:ind w:firstLine="562" w:firstLineChars="200"/>
        <w:rPr>
          <w:rFonts w:hint="eastAsia" w:ascii="宋体" w:hAnsi="宋体" w:cs="宋体"/>
          <w:b/>
          <w:sz w:val="28"/>
          <w:szCs w:val="28"/>
        </w:rPr>
      </w:pPr>
      <w:r>
        <w:rPr>
          <w:rFonts w:hint="eastAsia" w:ascii="宋体" w:hAnsi="宋体" w:cs="宋体"/>
          <w:b/>
          <w:sz w:val="28"/>
          <w:szCs w:val="28"/>
        </w:rPr>
        <w:t>二、坚持创新驱动</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坚持以社会主义核心价值观引领文化和旅游建设，抓住巴州文旅综合交通体系大突破、大机遇，全面深化改革，全面推进产品创新、业态创新、场景创新、管理创新，推进四季协同、提质增效，建设现代文旅产业体系。</w:t>
      </w:r>
    </w:p>
    <w:p>
      <w:pPr>
        <w:adjustRightInd w:val="0"/>
        <w:snapToGrid w:val="0"/>
        <w:spacing w:before="120" w:beforeLines="50" w:after="120" w:afterLines="50" w:line="500" w:lineRule="atLeast"/>
        <w:ind w:firstLine="562" w:firstLineChars="200"/>
        <w:rPr>
          <w:rFonts w:hint="eastAsia" w:ascii="宋体" w:hAnsi="宋体" w:cs="宋体"/>
          <w:b/>
          <w:sz w:val="28"/>
          <w:szCs w:val="28"/>
        </w:rPr>
      </w:pPr>
      <w:r>
        <w:rPr>
          <w:rFonts w:hint="eastAsia" w:ascii="宋体" w:hAnsi="宋体" w:cs="宋体"/>
          <w:b/>
          <w:sz w:val="28"/>
          <w:szCs w:val="28"/>
        </w:rPr>
        <w:t>三、坚持绿色转型</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坚持生态保护与生态旅游相得益彰、坚持文化旅游资源保护优先、坚持绿色发展，严格遵守生态红线，推进巴州文化和旅游全产业链绿色转型，倡导绿色文旅生活方式。</w:t>
      </w:r>
    </w:p>
    <w:p>
      <w:pPr>
        <w:adjustRightInd w:val="0"/>
        <w:snapToGrid w:val="0"/>
        <w:spacing w:before="120" w:beforeLines="50" w:after="120" w:afterLines="50" w:line="520" w:lineRule="atLeast"/>
        <w:ind w:firstLine="562" w:firstLineChars="200"/>
        <w:rPr>
          <w:rFonts w:hint="eastAsia" w:ascii="宋体" w:hAnsi="宋体" w:cs="宋体"/>
          <w:b/>
          <w:sz w:val="28"/>
          <w:szCs w:val="28"/>
        </w:rPr>
      </w:pPr>
      <w:r>
        <w:rPr>
          <w:rFonts w:hint="eastAsia" w:ascii="宋体" w:hAnsi="宋体" w:cs="宋体"/>
          <w:b/>
          <w:sz w:val="28"/>
          <w:szCs w:val="28"/>
        </w:rPr>
        <w:t>四、坚持主客共享</w:t>
      </w:r>
    </w:p>
    <w:p>
      <w:pPr>
        <w:adjustRightInd w:val="0"/>
        <w:snapToGrid w:val="0"/>
        <w:spacing w:before="120" w:beforeLines="50" w:after="120" w:afterLines="50" w:line="520" w:lineRule="atLeast"/>
        <w:ind w:firstLine="560" w:firstLineChars="200"/>
        <w:rPr>
          <w:rFonts w:hint="eastAsia" w:ascii="宋体" w:hAnsi="宋体" w:cs="宋体"/>
          <w:sz w:val="28"/>
          <w:szCs w:val="28"/>
        </w:rPr>
      </w:pPr>
      <w:r>
        <w:rPr>
          <w:rFonts w:hint="eastAsia" w:ascii="宋体" w:hAnsi="宋体" w:cs="宋体"/>
          <w:sz w:val="28"/>
          <w:szCs w:val="28"/>
        </w:rPr>
        <w:t>统筹兼顾，发挥文化和旅游促进“投资于人、共同富裕”的重要作用，深入推进文化惠民、旅游富民，共建共创美好文旅生活，增进游客、各民族交往交流交融，推进中华民族共同体建设。</w:t>
      </w:r>
    </w:p>
    <w:p>
      <w:pPr>
        <w:adjustRightInd w:val="0"/>
        <w:snapToGrid w:val="0"/>
        <w:spacing w:before="240" w:beforeLines="100" w:after="240" w:afterLines="100" w:line="500" w:lineRule="atLeast"/>
        <w:jc w:val="center"/>
        <w:outlineLvl w:val="1"/>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第三节  发展目标</w:t>
      </w:r>
    </w:p>
    <w:p>
      <w:pPr>
        <w:adjustRightInd w:val="0"/>
        <w:snapToGrid w:val="0"/>
        <w:spacing w:before="120" w:beforeLines="50" w:after="120" w:afterLines="50" w:line="500" w:lineRule="atLeast"/>
        <w:ind w:firstLine="562" w:firstLineChars="200"/>
        <w:rPr>
          <w:rFonts w:hint="eastAsia" w:ascii="宋体" w:hAnsi="宋体" w:cs="宋体"/>
          <w:b/>
          <w:sz w:val="28"/>
          <w:szCs w:val="28"/>
        </w:rPr>
      </w:pPr>
      <w:r>
        <w:rPr>
          <w:rFonts w:hint="eastAsia" w:ascii="宋体" w:hAnsi="宋体" w:cs="宋体"/>
          <w:b/>
          <w:sz w:val="28"/>
          <w:szCs w:val="28"/>
        </w:rPr>
        <w:t>一、主要目标</w:t>
      </w:r>
    </w:p>
    <w:p>
      <w:pPr>
        <w:adjustRightInd w:val="0"/>
        <w:snapToGrid w:val="0"/>
        <w:spacing w:before="120" w:beforeLines="50" w:after="120" w:afterLines="50" w:line="480" w:lineRule="atLeast"/>
        <w:ind w:firstLine="560" w:firstLineChars="200"/>
        <w:rPr>
          <w:rFonts w:hint="eastAsia"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到2030年，文化创新创造活力迸发，全域全季文旅发展格局基本形成，中华文化标识体系初步建成，提供更多优质文旅产品服务，冰雪文旅实现重大突破，五大文旅产业集群建设初见成效，</w:t>
      </w:r>
      <w:r>
        <w:rPr>
          <w:rFonts w:hint="eastAsia" w:ascii="宋体" w:hAnsi="宋体" w:cs="宋体"/>
          <w:sz w:val="28"/>
          <w:szCs w:val="28"/>
        </w:rPr>
        <w:t>文化和旅游综合收入（游客总花费）努力实现800亿元，</w:t>
      </w:r>
      <w:r>
        <w:rPr>
          <w:rFonts w:hint="eastAsia" w:ascii="宋体" w:hAnsi="宋体" w:cs="宋体"/>
          <w:color w:val="000000" w:themeColor="text1"/>
          <w:sz w:val="28"/>
          <w:szCs w:val="28"/>
          <w14:textFill>
            <w14:solidFill>
              <w14:schemeClr w14:val="tx1"/>
            </w14:solidFill>
          </w14:textFill>
        </w:rPr>
        <w:t>文化强州、旅游强州初步建成，成为国际知名的南疆丝绸之路和自然生态旅游目的地。</w:t>
      </w:r>
    </w:p>
    <w:p>
      <w:pPr>
        <w:adjustRightInd w:val="0"/>
        <w:snapToGrid w:val="0"/>
        <w:spacing w:before="120" w:beforeLines="50" w:after="120" w:afterLines="50" w:line="500" w:lineRule="atLeast"/>
        <w:ind w:firstLine="562" w:firstLineChars="200"/>
        <w:rPr>
          <w:rFonts w:hint="eastAsia" w:ascii="宋体" w:hAnsi="宋体" w:cs="宋体"/>
          <w:b/>
          <w:sz w:val="28"/>
          <w:szCs w:val="28"/>
        </w:rPr>
      </w:pPr>
      <w:r>
        <w:rPr>
          <w:rFonts w:hint="eastAsia" w:ascii="宋体" w:hAnsi="宋体" w:cs="宋体"/>
          <w:b/>
          <w:sz w:val="28"/>
          <w:szCs w:val="28"/>
          <w:lang w:val="en-US" w:eastAsia="zh-CN"/>
        </w:rPr>
        <w:t>二</w:t>
      </w:r>
      <w:r>
        <w:rPr>
          <w:rFonts w:hint="eastAsia" w:ascii="宋体" w:hAnsi="宋体" w:cs="宋体"/>
          <w:b/>
          <w:sz w:val="28"/>
          <w:szCs w:val="28"/>
        </w:rPr>
        <w:t>、2035年展望目标</w:t>
      </w:r>
    </w:p>
    <w:p>
      <w:pPr>
        <w:adjustRightInd w:val="0"/>
        <w:snapToGrid w:val="0"/>
        <w:spacing w:before="120" w:beforeLines="50" w:after="120" w:afterLines="50" w:line="460" w:lineRule="atLeast"/>
        <w:ind w:firstLine="560" w:firstLineChars="200"/>
        <w:rPr>
          <w:rFonts w:hint="eastAsia" w:ascii="宋体" w:hAnsi="宋体" w:cs="宋体"/>
          <w:sz w:val="28"/>
          <w:szCs w:val="28"/>
        </w:rPr>
      </w:pPr>
      <w:r>
        <w:rPr>
          <w:rFonts w:hint="eastAsia" w:ascii="宋体" w:hAnsi="宋体" w:cs="宋体"/>
          <w:sz w:val="28"/>
          <w:szCs w:val="28"/>
        </w:rPr>
        <w:t>在2030年基础上，文化精品更加精彩、旅游产品更为丰富，文旅融合更具创新活力，文化赋能经济社会发展更加全面深入，基本建成现代化巴州文旅经济体系，为巴州高质量发展提供更加坚实的文旅力量。</w:t>
      </w:r>
    </w:p>
    <w:p>
      <w:pPr>
        <w:adjustRightInd w:val="0"/>
        <w:snapToGrid w:val="0"/>
        <w:spacing w:before="360" w:beforeLines="150" w:after="360" w:afterLines="150" w:line="500" w:lineRule="atLeast"/>
        <w:jc w:val="center"/>
        <w:outlineLvl w:val="0"/>
        <w:rPr>
          <w:rFonts w:hint="eastAsia" w:ascii="黑体" w:hAnsi="黑体" w:eastAsia="黑体" w:cs="黑体"/>
          <w:sz w:val="28"/>
          <w:szCs w:val="28"/>
        </w:rPr>
      </w:pPr>
      <w:r>
        <w:rPr>
          <w:rFonts w:hint="eastAsia" w:ascii="黑体" w:hAnsi="黑体" w:eastAsia="黑体" w:cs="黑体"/>
          <w:sz w:val="28"/>
          <w:szCs w:val="28"/>
        </w:rPr>
        <w:t>第三章  主要任务</w:t>
      </w:r>
    </w:p>
    <w:p>
      <w:pPr>
        <w:adjustRightInd w:val="0"/>
        <w:snapToGrid w:val="0"/>
        <w:spacing w:before="240" w:beforeLines="100" w:after="240" w:afterLines="100" w:line="500" w:lineRule="atLeast"/>
        <w:jc w:val="center"/>
        <w:outlineLvl w:val="1"/>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第一节  文化双创赋能文化润疆</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深入实施文化润疆，全面激发巴州文化创新创造活力，坚持以社会主义核心价值观引领文化建设，全面强化“五个认同”，立体塑造“中华文明标识”体系，增强中华民族凝聚力，不断提升巴州文化传播力和影响力。</w:t>
      </w:r>
    </w:p>
    <w:p>
      <w:pPr>
        <w:adjustRightInd w:val="0"/>
        <w:snapToGrid w:val="0"/>
        <w:spacing w:before="120" w:beforeLines="50" w:after="120" w:afterLines="50" w:line="500" w:lineRule="atLeast"/>
        <w:ind w:firstLine="562" w:firstLineChars="200"/>
        <w:outlineLvl w:val="2"/>
        <w:rPr>
          <w:rFonts w:hint="eastAsia" w:ascii="楷体_GB2312" w:hAnsi="楷体_GB2312" w:eastAsia="楷体_GB2312" w:cs="楷体_GB2312"/>
          <w:b/>
          <w:bCs/>
          <w:sz w:val="28"/>
          <w:szCs w:val="28"/>
        </w:rPr>
      </w:pPr>
      <w:bookmarkStart w:id="2" w:name="OLE_LINK1"/>
      <w:r>
        <w:rPr>
          <w:rFonts w:hint="eastAsia" w:ascii="楷体_GB2312" w:hAnsi="楷体_GB2312" w:eastAsia="楷体_GB2312" w:cs="楷体_GB2312"/>
          <w:b/>
          <w:bCs/>
          <w:sz w:val="28"/>
          <w:szCs w:val="28"/>
        </w:rPr>
        <w:t>一、塑造“中华文明标识”</w:t>
      </w:r>
      <w:bookmarkEnd w:id="2"/>
      <w:r>
        <w:rPr>
          <w:rFonts w:hint="eastAsia" w:ascii="楷体_GB2312" w:hAnsi="楷体_GB2312" w:eastAsia="楷体_GB2312" w:cs="楷体_GB2312"/>
          <w:b/>
          <w:bCs/>
          <w:sz w:val="28"/>
          <w:szCs w:val="28"/>
        </w:rPr>
        <w:t>体系</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（一）塑造“国之巴州”精神标识</w:t>
      </w:r>
    </w:p>
    <w:p>
      <w:pPr>
        <w:adjustRightInd w:val="0"/>
        <w:snapToGrid w:val="0"/>
        <w:spacing w:before="120" w:beforeLines="50" w:after="120" w:afterLines="50" w:line="500" w:lineRule="atLeast"/>
        <w:ind w:firstLine="560" w:firstLineChars="200"/>
        <w:rPr>
          <w:rFonts w:hint="eastAsia" w:ascii="宋体" w:hAnsi="宋体" w:cs="宋体"/>
          <w:bCs/>
          <w:sz w:val="28"/>
          <w:szCs w:val="28"/>
        </w:rPr>
      </w:pPr>
      <w:r>
        <w:rPr>
          <w:rFonts w:hint="eastAsia" w:ascii="宋体" w:hAnsi="宋体" w:cs="宋体"/>
          <w:bCs/>
          <w:sz w:val="28"/>
          <w:szCs w:val="28"/>
        </w:rPr>
        <w:t>强化文化自信、国之担当，坚持铸牢中华民族共同体意识主线，做实共同体历史文化标识建设，</w:t>
      </w:r>
      <w:bookmarkStart w:id="3" w:name="OLE_LINK2"/>
      <w:r>
        <w:rPr>
          <w:rFonts w:hint="eastAsia" w:ascii="宋体" w:hAnsi="宋体" w:cs="宋体"/>
          <w:bCs/>
          <w:sz w:val="28"/>
          <w:szCs w:val="28"/>
        </w:rPr>
        <w:t>以“长城烽燧与东归文化”为纽带，围绕孔雀河烽燧遗址群及东归历史遗存，诠释屯垦戍边的家国守护史与民族回归的爱国情怀。以“西域都护府遗址群”为核心，构建长城国家文化公园（巴州段）“保护-研究-活化”全链条体系</w:t>
      </w:r>
      <w:bookmarkEnd w:id="3"/>
      <w:r>
        <w:rPr>
          <w:rFonts w:hint="eastAsia" w:ascii="宋体" w:hAnsi="宋体" w:cs="宋体"/>
          <w:bCs/>
          <w:sz w:val="28"/>
          <w:szCs w:val="28"/>
        </w:rPr>
        <w:t>，深挖其背后的边疆治理制度与民族交融内涵；推进遗址本体保护，加大遗址活化利用，打造文化主题旅游线路和文物主题游径；升级文博场馆设施，扩容展陈空间，丰富数字化展陈内容。</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（二）塑造“丝路文明交融”标识</w:t>
      </w:r>
    </w:p>
    <w:p>
      <w:pPr>
        <w:adjustRightInd w:val="0"/>
        <w:snapToGrid w:val="0"/>
        <w:spacing w:before="120" w:beforeLines="50" w:after="120" w:afterLines="50" w:line="500" w:lineRule="atLeast"/>
        <w:ind w:firstLine="560" w:firstLineChars="200"/>
        <w:rPr>
          <w:rFonts w:hint="eastAsia" w:ascii="宋体" w:hAnsi="宋体" w:cs="宋体"/>
          <w:b/>
          <w:sz w:val="28"/>
          <w:szCs w:val="28"/>
        </w:rPr>
      </w:pPr>
      <w:r>
        <w:rPr>
          <w:rFonts w:hint="eastAsia" w:ascii="宋体" w:hAnsi="宋体" w:cs="宋体"/>
          <w:bCs/>
          <w:sz w:val="28"/>
          <w:szCs w:val="28"/>
        </w:rPr>
        <w:t>以“楼兰文化遗存”为载体，推进“文化解码与场景再现”。加强楼兰故城遗址保护，依托楼兰博物馆，整合楼兰壁画墓复制品、丝路商贸器具等资源，及各类文物数字资源，打造“数字博物馆”，还原古楼兰人耕作、商贸、礼仪等场景，积极发展文化产业。启动丝绸之路楼兰历史文化专项研究，梳理楼兰文化与中原文化的互动脉络，出版相关专著诠释丝路文明交融的历史。</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（三）塑造“强国担当”时代标识</w:t>
      </w:r>
    </w:p>
    <w:p>
      <w:pPr>
        <w:adjustRightInd w:val="0"/>
        <w:snapToGrid w:val="0"/>
        <w:spacing w:before="120" w:beforeLines="50" w:after="120" w:afterLines="50" w:line="480" w:lineRule="atLeast"/>
        <w:ind w:firstLine="560" w:firstLineChars="200"/>
        <w:rPr>
          <w:rFonts w:hint="eastAsia" w:ascii="宋体" w:hAnsi="宋体" w:cs="宋体"/>
          <w:bCs/>
          <w:sz w:val="28"/>
          <w:szCs w:val="28"/>
        </w:rPr>
      </w:pPr>
      <w:r>
        <w:rPr>
          <w:rFonts w:hint="eastAsia" w:ascii="宋体" w:hAnsi="宋体" w:cs="宋体"/>
          <w:bCs/>
          <w:sz w:val="28"/>
          <w:szCs w:val="28"/>
        </w:rPr>
        <w:t>提升红色旅游育人功能，以“马兰红色文化”串联马兰红山军博园等核心景点与设施，推进国家5A级旅游景区创建，建设马兰博物馆，完善红山核武器</w:t>
      </w:r>
      <w:r>
        <w:rPr>
          <w:rFonts w:hint="eastAsia" w:ascii="宋体" w:hAnsi="宋体" w:cs="宋体"/>
          <w:bCs/>
          <w:sz w:val="28"/>
          <w:szCs w:val="28"/>
          <w:lang w:eastAsia="zh-CN"/>
        </w:rPr>
        <w:t>试</w:t>
      </w:r>
      <w:r>
        <w:rPr>
          <w:rFonts w:hint="eastAsia" w:ascii="宋体" w:hAnsi="宋体" w:cs="宋体"/>
          <w:bCs/>
          <w:sz w:val="28"/>
          <w:szCs w:val="28"/>
        </w:rPr>
        <w:t>爆指挥中心旧址的保护与利用，丰富休闲度假业态；深度挖掘“保密夫妻”“科研先锋”等感人事迹，创作《马兰花开》等主题情景剧与短视频，在新媒体平台打造传播爆款。</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（四）塑造“文化包容”共生标识</w:t>
      </w:r>
    </w:p>
    <w:p>
      <w:pPr>
        <w:adjustRightInd w:val="0"/>
        <w:snapToGrid w:val="0"/>
        <w:spacing w:before="120" w:beforeLines="50" w:after="120" w:afterLines="50" w:line="480" w:lineRule="atLeast"/>
        <w:ind w:firstLine="560" w:firstLineChars="200"/>
        <w:rPr>
          <w:rFonts w:hint="eastAsia" w:ascii="宋体" w:hAnsi="宋体" w:cs="宋体"/>
          <w:bCs/>
          <w:sz w:val="28"/>
          <w:szCs w:val="28"/>
        </w:rPr>
      </w:pPr>
      <w:r>
        <w:rPr>
          <w:rFonts w:hint="eastAsia" w:ascii="宋体" w:hAnsi="宋体" w:cs="宋体"/>
          <w:bCs/>
          <w:sz w:val="28"/>
          <w:szCs w:val="28"/>
        </w:rPr>
        <w:t>围绕七个星佛寺遗址，诠释其犍陀罗风格与中原艺术交融的造像，实证佛教中国化及文化包容共生。加快七个星佛寺遗址国家考古遗址公园建设。实施七个星佛寺遗址洞窟加固工程和展示提升项目，防止文物进一步风化；建立“多元文化交融展厅”，集中展示遗址出土的融合不同艺术风格的造像残件、经文抄本，邀请专家解读其背后的文化交流历史。依托七个星佛寺遗址多元交融的文化底蕴，策划打造原创文艺剧目。</w:t>
      </w:r>
    </w:p>
    <w:p>
      <w:pPr>
        <w:adjustRightInd w:val="0"/>
        <w:snapToGrid w:val="0"/>
        <w:spacing w:before="120" w:beforeLines="50" w:after="120" w:afterLines="50" w:line="500" w:lineRule="atLeast"/>
        <w:ind w:firstLine="562" w:firstLineChars="200"/>
        <w:outlineLvl w:val="2"/>
        <w:rPr>
          <w:rFonts w:hint="eastAsia" w:ascii="楷体_GB2312" w:hAnsi="楷体_GB2312" w:eastAsia="楷体_GB2312" w:cs="楷体_GB2312"/>
          <w:b/>
          <w:bCs/>
          <w:sz w:val="28"/>
          <w:szCs w:val="28"/>
        </w:rPr>
      </w:pPr>
      <w:bookmarkStart w:id="4" w:name="OLE_LINK30"/>
      <w:r>
        <w:rPr>
          <w:rFonts w:hint="eastAsia" w:ascii="楷体_GB2312" w:hAnsi="楷体_GB2312" w:eastAsia="楷体_GB2312" w:cs="楷体_GB2312"/>
          <w:b/>
          <w:bCs/>
          <w:sz w:val="28"/>
          <w:szCs w:val="28"/>
        </w:rPr>
        <w:t>二、推进文物保护与</w:t>
      </w:r>
      <w:bookmarkEnd w:id="4"/>
      <w:r>
        <w:rPr>
          <w:rFonts w:hint="eastAsia" w:ascii="楷体_GB2312" w:hAnsi="楷体_GB2312" w:eastAsia="楷体_GB2312" w:cs="楷体_GB2312"/>
          <w:b/>
          <w:bCs/>
          <w:sz w:val="28"/>
          <w:szCs w:val="28"/>
        </w:rPr>
        <w:t>文博创新</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bookmarkStart w:id="5" w:name="OLE_LINK32"/>
      <w:r>
        <w:rPr>
          <w:rFonts w:hint="eastAsia" w:ascii="宋体" w:hAnsi="宋体" w:cs="宋体"/>
          <w:b/>
          <w:sz w:val="28"/>
          <w:szCs w:val="28"/>
        </w:rPr>
        <w:t>（一）构建文物</w:t>
      </w:r>
      <w:bookmarkStart w:id="6" w:name="OLE_LINK33"/>
      <w:r>
        <w:rPr>
          <w:rFonts w:hint="eastAsia" w:ascii="宋体" w:hAnsi="宋体" w:cs="宋体"/>
          <w:b/>
          <w:sz w:val="28"/>
          <w:szCs w:val="28"/>
        </w:rPr>
        <w:t>安全防护</w:t>
      </w:r>
      <w:bookmarkEnd w:id="6"/>
      <w:r>
        <w:rPr>
          <w:rFonts w:hint="eastAsia" w:ascii="宋体" w:hAnsi="宋体" w:cs="宋体"/>
          <w:b/>
          <w:sz w:val="28"/>
          <w:szCs w:val="28"/>
        </w:rPr>
        <w:t>体系</w:t>
      </w:r>
    </w:p>
    <w:p>
      <w:pPr>
        <w:adjustRightInd w:val="0"/>
        <w:snapToGrid w:val="0"/>
        <w:spacing w:before="120" w:beforeLines="50" w:after="120" w:afterLines="50" w:line="500" w:lineRule="atLeast"/>
        <w:ind w:firstLine="562" w:firstLineChars="200"/>
        <w:rPr>
          <w:rFonts w:hint="eastAsia" w:ascii="宋体" w:hAnsi="宋体" w:cs="宋体"/>
          <w:sz w:val="28"/>
          <w:szCs w:val="28"/>
        </w:rPr>
      </w:pPr>
      <w:r>
        <w:rPr>
          <w:rFonts w:hint="eastAsia" w:ascii="宋体" w:hAnsi="宋体" w:cs="宋体"/>
          <w:b/>
          <w:bCs/>
          <w:sz w:val="28"/>
          <w:szCs w:val="28"/>
        </w:rPr>
        <w:t>完善普查档案体系</w:t>
      </w:r>
      <w:r>
        <w:rPr>
          <w:rFonts w:hint="eastAsia" w:ascii="宋体" w:hAnsi="宋体" w:cs="宋体"/>
          <w:sz w:val="28"/>
          <w:szCs w:val="28"/>
        </w:rPr>
        <w:t>。整合第三次全国文物普查657处不可移动文物与第四次普查新发现不可移动文物数据，建立辖区不可移动文物资源目录。做好全国重点文物保护单位记录档案编制更新工作，实现“一处一档、动态更新”，重点完善县级文物保护单位“四有”工作。</w:t>
      </w:r>
    </w:p>
    <w:p>
      <w:pPr>
        <w:adjustRightInd w:val="0"/>
        <w:snapToGrid w:val="0"/>
        <w:spacing w:before="120" w:beforeLines="50" w:after="120" w:afterLines="50" w:line="500" w:lineRule="atLeast"/>
        <w:ind w:firstLine="562" w:firstLineChars="200"/>
        <w:rPr>
          <w:rFonts w:hint="eastAsia" w:ascii="宋体" w:hAnsi="宋体" w:cs="宋体"/>
          <w:sz w:val="28"/>
          <w:szCs w:val="28"/>
        </w:rPr>
      </w:pPr>
      <w:r>
        <w:rPr>
          <w:rFonts w:hint="eastAsia" w:ascii="宋体" w:hAnsi="宋体" w:cs="宋体"/>
          <w:b/>
          <w:bCs/>
          <w:sz w:val="28"/>
          <w:szCs w:val="28"/>
        </w:rPr>
        <w:t>加强分层分级保护</w:t>
      </w:r>
      <w:r>
        <w:rPr>
          <w:rFonts w:hint="eastAsia" w:ascii="宋体" w:hAnsi="宋体" w:cs="宋体"/>
          <w:sz w:val="28"/>
          <w:szCs w:val="28"/>
        </w:rPr>
        <w:t>。针对18处全国重点文保单位实施“一单位一方案”，对轮台县卓尔库特古城、焉耆县七个星石窟等核心遗址，安装智能监控摄像头及环境监测传感器，建立24小时实时预警系统；对脆弱遗存，开展本体加固、防风化处理等预防性保护工程。推进自治区级、县级文物保护单位安全防护设施建设。</w:t>
      </w:r>
    </w:p>
    <w:p>
      <w:pPr>
        <w:adjustRightInd w:val="0"/>
        <w:snapToGrid w:val="0"/>
        <w:spacing w:before="120" w:beforeLines="50" w:after="120" w:afterLines="50" w:line="500" w:lineRule="atLeast"/>
        <w:ind w:firstLine="562" w:firstLineChars="200"/>
        <w:rPr>
          <w:rFonts w:hint="eastAsia" w:ascii="宋体" w:hAnsi="宋体" w:cs="宋体"/>
          <w:sz w:val="28"/>
          <w:szCs w:val="28"/>
        </w:rPr>
      </w:pPr>
      <w:r>
        <w:rPr>
          <w:rFonts w:hint="eastAsia" w:ascii="宋体" w:hAnsi="宋体" w:cs="宋体"/>
          <w:b/>
          <w:bCs/>
          <w:sz w:val="28"/>
          <w:szCs w:val="28"/>
        </w:rPr>
        <w:t>加强文物安全管理</w:t>
      </w:r>
      <w:r>
        <w:rPr>
          <w:rFonts w:hint="eastAsia" w:ascii="宋体" w:hAnsi="宋体" w:cs="宋体"/>
          <w:sz w:val="28"/>
          <w:szCs w:val="28"/>
        </w:rPr>
        <w:t>。建立文旅、公安、自然资源等多部门综合执法机制，组建专业文物巡护队伍，配备智能巡护终端，对楼兰故城、米兰遗址等偏远遗址实施常态化巡护，严厉打击盗掘、破坏文物等违法行为。</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w:t>
      </w:r>
      <w:r>
        <w:rPr>
          <w:rFonts w:hint="eastAsia" w:ascii="宋体" w:hAnsi="宋体" w:cs="宋体"/>
          <w:b/>
          <w:sz w:val="28"/>
          <w:szCs w:val="28"/>
          <w:lang w:eastAsia="zh-CN"/>
        </w:rPr>
        <w:t>二</w:t>
      </w:r>
      <w:r>
        <w:rPr>
          <w:rFonts w:hint="eastAsia" w:ascii="宋体" w:hAnsi="宋体" w:cs="宋体"/>
          <w:b/>
          <w:sz w:val="28"/>
          <w:szCs w:val="28"/>
        </w:rPr>
        <w:t>）深化保护利用机制创新</w:t>
      </w:r>
    </w:p>
    <w:p>
      <w:pPr>
        <w:adjustRightInd w:val="0"/>
        <w:snapToGrid w:val="0"/>
        <w:spacing w:before="120" w:beforeLines="50" w:after="120" w:afterLines="50" w:line="520" w:lineRule="atLeast"/>
        <w:ind w:firstLine="560" w:firstLineChars="200"/>
        <w:rPr>
          <w:rFonts w:hint="eastAsia" w:ascii="宋体" w:hAnsi="宋体" w:cs="宋体"/>
          <w:sz w:val="28"/>
          <w:szCs w:val="28"/>
        </w:rPr>
      </w:pPr>
      <w:r>
        <w:rPr>
          <w:rFonts w:hint="eastAsia" w:ascii="宋体" w:hAnsi="宋体" w:cs="宋体"/>
          <w:sz w:val="28"/>
          <w:szCs w:val="28"/>
        </w:rPr>
        <w:t>构建“政府主导、社会参与、市场运作、科技支撑”的长效机制。加强资金保障，积极争取国家文物保护专项资金，探索社会资本参与路径，通过PPP模式、专项债券等方式，支持考古遗址公园、文化街区等项目建设。强化活化利用，发展“博物馆游”，推进“文物+文旅”深度融合，以</w:t>
      </w:r>
      <w:bookmarkStart w:id="7" w:name="OLE_LINK8"/>
      <w:r>
        <w:rPr>
          <w:rFonts w:hint="eastAsia" w:ascii="宋体" w:hAnsi="宋体" w:cs="宋体"/>
          <w:sz w:val="28"/>
          <w:szCs w:val="28"/>
        </w:rPr>
        <w:t>七个星佛寺遗址</w:t>
      </w:r>
      <w:bookmarkEnd w:id="7"/>
      <w:r>
        <w:rPr>
          <w:rFonts w:hint="eastAsia" w:ascii="宋体" w:hAnsi="宋体" w:cs="宋体"/>
          <w:sz w:val="28"/>
          <w:szCs w:val="28"/>
        </w:rPr>
        <w:t>、</w:t>
      </w:r>
      <w:bookmarkStart w:id="8" w:name="OLE_LINK82"/>
      <w:r>
        <w:rPr>
          <w:rFonts w:hint="eastAsia" w:ascii="宋体" w:hAnsi="宋体" w:cs="宋体"/>
          <w:sz w:val="28"/>
          <w:szCs w:val="28"/>
        </w:rPr>
        <w:t>卓尔库特古城</w:t>
      </w:r>
      <w:bookmarkEnd w:id="8"/>
      <w:r>
        <w:rPr>
          <w:rFonts w:hint="eastAsia" w:ascii="宋体" w:hAnsi="宋体" w:cs="宋体"/>
          <w:sz w:val="28"/>
          <w:szCs w:val="28"/>
        </w:rPr>
        <w:t>遗址和米兰遗址为试点，打造集遗址展示、研学体验、文化创意于一体的综合园区。</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w:t>
      </w:r>
      <w:r>
        <w:rPr>
          <w:rFonts w:hint="eastAsia" w:ascii="宋体" w:hAnsi="宋体" w:cs="宋体"/>
          <w:b/>
          <w:sz w:val="28"/>
          <w:szCs w:val="28"/>
          <w:lang w:eastAsia="zh-CN"/>
        </w:rPr>
        <w:t>三</w:t>
      </w:r>
      <w:r>
        <w:rPr>
          <w:rFonts w:hint="eastAsia" w:ascii="宋体" w:hAnsi="宋体" w:cs="宋体"/>
          <w:b/>
          <w:sz w:val="28"/>
          <w:szCs w:val="28"/>
        </w:rPr>
        <w:t>）开展专业能力提升行动</w:t>
      </w:r>
    </w:p>
    <w:bookmarkEnd w:id="5"/>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加大文物人才队伍建设，与北京大学考古文博学院、新疆师范大学等高校合作，开设文物保护与文旅管理定向培养班，每年培养专业人才50名以上。建设文物保护实训基地，提升基层工作人员实操能力。开展文物修复技术培训，提升馆藏文物修复能力，重点加强珍贵文物保护修复技艺传承。加快科技赋能，推进文物保护数字化升级，建设巴州文物数字资源库与线上展示平台，运用VR/AR技术还原遗址历史场景。完善人才激励机制，对在文物保护中作出突出贡献的单位和个人给予表彰奖励。</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bookmarkStart w:id="9" w:name="_Hlk212802539"/>
      <w:r>
        <w:rPr>
          <w:rFonts w:hint="eastAsia" w:ascii="宋体" w:hAnsi="宋体" w:cs="宋体"/>
          <w:b/>
          <w:sz w:val="28"/>
          <w:szCs w:val="28"/>
        </w:rPr>
        <w:t>（</w:t>
      </w:r>
      <w:r>
        <w:rPr>
          <w:rFonts w:hint="eastAsia" w:ascii="宋体" w:hAnsi="宋体" w:cs="宋体"/>
          <w:b/>
          <w:sz w:val="28"/>
          <w:szCs w:val="28"/>
          <w:lang w:eastAsia="zh-CN"/>
        </w:rPr>
        <w:t>四</w:t>
      </w:r>
      <w:r>
        <w:rPr>
          <w:rFonts w:hint="eastAsia" w:ascii="宋体" w:hAnsi="宋体" w:cs="宋体"/>
          <w:b/>
          <w:sz w:val="28"/>
          <w:szCs w:val="28"/>
        </w:rPr>
        <w:t>）推动文博场馆服务创新</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推动文博场馆从传统陈列向智慧化、体验式、复合型文化空间转型。推进巴州博物馆评选</w:t>
      </w:r>
      <w:bookmarkStart w:id="10" w:name="_Hlk212903771"/>
      <w:r>
        <w:rPr>
          <w:rFonts w:hint="eastAsia" w:ascii="宋体" w:hAnsi="宋体" w:cs="宋体"/>
          <w:sz w:val="28"/>
          <w:szCs w:val="28"/>
        </w:rPr>
        <w:t>国家一级博物馆</w:t>
      </w:r>
      <w:bookmarkEnd w:id="10"/>
      <w:r>
        <w:rPr>
          <w:rFonts w:hint="eastAsia" w:ascii="宋体" w:hAnsi="宋体" w:cs="宋体"/>
          <w:sz w:val="28"/>
          <w:szCs w:val="28"/>
        </w:rPr>
        <w:t>，西域都护府博物馆、尉犁县丝绸之路长城文化博物馆评选国家三级博物馆。实施县级博物馆升级工程，推进有条件的县级博物馆改造提升，增加中国通史、</w:t>
      </w:r>
      <w:bookmarkStart w:id="11" w:name="OLE_LINK45"/>
      <w:r>
        <w:rPr>
          <w:rFonts w:hint="eastAsia" w:ascii="宋体" w:hAnsi="宋体" w:cs="宋体"/>
          <w:sz w:val="28"/>
          <w:szCs w:val="28"/>
        </w:rPr>
        <w:t>新疆“四史”相关展陈内容</w:t>
      </w:r>
      <w:bookmarkEnd w:id="11"/>
      <w:r>
        <w:rPr>
          <w:rFonts w:hint="eastAsia" w:ascii="宋体" w:hAnsi="宋体" w:cs="宋体"/>
          <w:sz w:val="28"/>
          <w:szCs w:val="28"/>
        </w:rPr>
        <w:t>，提升展陈的思想性与感染力。</w:t>
      </w:r>
    </w:p>
    <w:p>
      <w:pPr>
        <w:adjustRightInd w:val="0"/>
        <w:snapToGrid w:val="0"/>
        <w:spacing w:before="120" w:beforeLines="50" w:after="120" w:afterLines="50" w:line="500" w:lineRule="atLeast"/>
        <w:ind w:firstLine="562" w:firstLineChars="200"/>
        <w:outlineLvl w:val="2"/>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三、加强非遗系统性保护传承</w:t>
      </w:r>
      <w:bookmarkEnd w:id="9"/>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bookmarkStart w:id="12" w:name="OLE_LINK46"/>
      <w:r>
        <w:rPr>
          <w:rFonts w:hint="eastAsia" w:ascii="宋体" w:hAnsi="宋体" w:cs="宋体"/>
          <w:b/>
          <w:sz w:val="28"/>
          <w:szCs w:val="28"/>
        </w:rPr>
        <w:t>（一）构建非遗保护体系</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开展全州非遗资源补充调查与精准核查，重点摸清国家级非遗项目的存续现状、传承脉络与市场潜力，更新完善国家、自治区、自治州、县市四级非遗代表性项目名录。实施“非遗传承人培育计划”，构建“师带徒+集中研修+高校深造”的多元化培养模式，优化传承人队伍结构，重点扶持35岁以下中青年传承人。定期举办非遗技艺大赛、传承人交流研讨活动，促进非遗技艺融合与创新。积极争取国家级、自治区级非遗专项经费，保障传承活动、人才培养、场馆建设等工作有序推进。</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（二）促进非遗创新创造</w:t>
      </w:r>
    </w:p>
    <w:bookmarkEnd w:id="12"/>
    <w:p>
      <w:pPr>
        <w:adjustRightInd w:val="0"/>
        <w:snapToGrid w:val="0"/>
        <w:spacing w:before="120" w:beforeLines="50" w:after="120" w:afterLines="50" w:line="500" w:lineRule="exact"/>
        <w:ind w:firstLine="560" w:firstLineChars="200"/>
        <w:rPr>
          <w:rFonts w:hint="eastAsia" w:ascii="宋体" w:hAnsi="宋体" w:cs="宋体"/>
          <w:sz w:val="28"/>
          <w:szCs w:val="28"/>
        </w:rPr>
      </w:pPr>
      <w:r>
        <w:rPr>
          <w:rFonts w:hint="eastAsia" w:ascii="宋体" w:hAnsi="宋体" w:cs="宋体"/>
          <w:sz w:val="28"/>
          <w:szCs w:val="28"/>
        </w:rPr>
        <w:t>加强文创产业培育。挖掘西域都护府文物造型、蒙古族刺绣纹样、楼兰文化符号等核心元素，开发文具、家居、食品、手工艺品、帕拉孜编织技艺等多品类文创产品。</w:t>
      </w:r>
      <w:bookmarkStart w:id="13" w:name="OLE_LINK9"/>
      <w:r>
        <w:rPr>
          <w:rFonts w:hint="eastAsia" w:ascii="宋体" w:hAnsi="宋体" w:cs="宋体"/>
          <w:sz w:val="28"/>
          <w:szCs w:val="28"/>
        </w:rPr>
        <w:t>培育文创商品生产地。擦亮“巴州好礼”文创品牌</w:t>
      </w:r>
      <w:bookmarkEnd w:id="13"/>
      <w:r>
        <w:rPr>
          <w:rFonts w:hint="eastAsia" w:ascii="宋体" w:hAnsi="宋体" w:cs="宋体"/>
          <w:sz w:val="28"/>
          <w:szCs w:val="28"/>
        </w:rPr>
        <w:t>，通过“非遗集市”“文创展销会”等平台展示销售，将骨雕、刺绣等非遗作品转化为可收藏的“文化盲盒”。搭建线上销售渠道，依托电商平台开设文创店铺。</w:t>
      </w:r>
    </w:p>
    <w:p>
      <w:pPr>
        <w:adjustRightInd w:val="0"/>
        <w:snapToGrid w:val="0"/>
        <w:spacing w:before="120" w:beforeLines="50" w:after="120" w:afterLines="50" w:line="500" w:lineRule="atLeast"/>
        <w:ind w:firstLine="562" w:firstLineChars="200"/>
        <w:outlineLvl w:val="2"/>
        <w:rPr>
          <w:rFonts w:hint="eastAsia" w:ascii="楷体_GB2312" w:hAnsi="楷体_GB2312" w:eastAsia="楷体_GB2312" w:cs="楷体_GB2312"/>
          <w:b/>
          <w:bCs/>
          <w:sz w:val="28"/>
          <w:szCs w:val="28"/>
        </w:rPr>
      </w:pPr>
      <w:bookmarkStart w:id="14" w:name="OLE_LINK31"/>
      <w:r>
        <w:rPr>
          <w:rFonts w:hint="eastAsia" w:ascii="楷体_GB2312" w:hAnsi="楷体_GB2312" w:eastAsia="楷体_GB2312" w:cs="楷体_GB2312"/>
          <w:b/>
          <w:bCs/>
          <w:sz w:val="28"/>
          <w:szCs w:val="28"/>
        </w:rPr>
        <w:t>四、加大</w:t>
      </w:r>
      <w:bookmarkStart w:id="15" w:name="OLE_LINK59"/>
      <w:r>
        <w:rPr>
          <w:rFonts w:hint="eastAsia" w:ascii="楷体_GB2312" w:hAnsi="楷体_GB2312" w:eastAsia="楷体_GB2312" w:cs="楷体_GB2312"/>
          <w:b/>
          <w:bCs/>
          <w:sz w:val="28"/>
          <w:szCs w:val="28"/>
        </w:rPr>
        <w:t>艺术创作与文化传播</w:t>
      </w:r>
      <w:bookmarkEnd w:id="14"/>
      <w:bookmarkEnd w:id="15"/>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bookmarkStart w:id="16" w:name="OLE_LINK64"/>
      <w:r>
        <w:rPr>
          <w:rFonts w:hint="eastAsia" w:ascii="宋体" w:hAnsi="宋体" w:cs="宋体"/>
          <w:b/>
          <w:sz w:val="28"/>
          <w:szCs w:val="28"/>
        </w:rPr>
        <w:t>（一）实施精品文艺创作工程</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紧扣国家、自治区重要时间节点，聚</w:t>
      </w:r>
      <w:bookmarkEnd w:id="16"/>
      <w:r>
        <w:rPr>
          <w:rFonts w:hint="eastAsia" w:ascii="宋体" w:hAnsi="宋体" w:cs="宋体"/>
          <w:sz w:val="28"/>
          <w:szCs w:val="28"/>
        </w:rPr>
        <w:t>焦重大主题与文化根脉，将西域都护府历史、马兰精神、楼兰文明、玉石文化、焉耆盆地葡萄酒文化、各民族交往交流交融等核心文化元素转化为艺术精品，构建多层次、高品质的文艺创作体系。突出三大创作重点方向。一是历史与人文题材，深度挖掘卓尔库特古城、楼兰故城、焉耆县七个星佛寺遗址等考古遗址，及丝绸之路、长城文化烽燧的文化内涵，创排歌舞剧、话剧作品；二是红色精神题材，以马兰精神为内核，延伸创作音乐剧、诗歌、美术等艺术形式；三是时代现实题材，聚焦乡村振兴、民族团结、“一带一路”等当代主题，创作小品、快板、歌曲等文艺作品。重点推进传承丰富一批传统经典，保留提升一批现有精品，新创开发一批时代力作。</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bookmarkStart w:id="17" w:name="OLE_LINK38"/>
      <w:r>
        <w:rPr>
          <w:rFonts w:hint="eastAsia" w:ascii="宋体" w:hAnsi="宋体" w:cs="宋体"/>
          <w:b/>
          <w:sz w:val="28"/>
          <w:szCs w:val="28"/>
        </w:rPr>
        <w:t>（二）打造“艺术巴州”品牌矩阵</w:t>
      </w:r>
    </w:p>
    <w:bookmarkEnd w:id="17"/>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核心品牌塑强。</w:t>
      </w:r>
      <w:bookmarkStart w:id="18" w:name="OLE_LINK62"/>
      <w:r>
        <w:rPr>
          <w:rFonts w:hint="eastAsia" w:ascii="宋体" w:hAnsi="宋体" w:cs="宋体"/>
          <w:sz w:val="28"/>
          <w:szCs w:val="28"/>
        </w:rPr>
        <w:t>以“艺术巴州”为总品牌</w:t>
      </w:r>
      <w:bookmarkEnd w:id="18"/>
      <w:r>
        <w:rPr>
          <w:rFonts w:hint="eastAsia" w:ascii="宋体" w:hAnsi="宋体" w:cs="宋体"/>
          <w:sz w:val="28"/>
          <w:szCs w:val="28"/>
        </w:rPr>
        <w:t>，统筹全州各级国有文艺院团、文化馆，合力打造具有辨识度的核心艺术IP。将萨吾尔登、托布秀尔、赛乃姆、罗布淖尔民歌、新疆花儿等传统舞蹈、音乐与现代艺术相结合，打造艺术精品。立足各县市文化特色，打造区域艺术品牌，轮台县聚焦西域都护府文化、若羌县深挖楼兰文化、和静县深化东归文化、和硕县围绕马兰文化、焉耆县挖掘焉耆盆地葡萄酒文化等壮大乡村文艺特色品牌，扶持乡村文艺小分队，形成基层艺术品牌体系。</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bookmarkStart w:id="19" w:name="OLE_LINK55"/>
      <w:r>
        <w:rPr>
          <w:rFonts w:hint="eastAsia" w:ascii="宋体" w:hAnsi="宋体" w:cs="宋体"/>
          <w:b/>
          <w:sz w:val="28"/>
          <w:szCs w:val="28"/>
        </w:rPr>
        <w:t>（三）提升艺术人才发展能力</w:t>
      </w:r>
    </w:p>
    <w:p>
      <w:pPr>
        <w:adjustRightInd w:val="0"/>
        <w:snapToGrid w:val="0"/>
        <w:spacing w:before="120" w:beforeLines="50" w:after="120" w:afterLines="50" w:line="480" w:lineRule="atLeast"/>
        <w:ind w:firstLine="560" w:firstLineChars="200"/>
        <w:rPr>
          <w:rFonts w:hint="eastAsia" w:ascii="宋体" w:hAnsi="宋体" w:cs="宋体"/>
          <w:bCs/>
          <w:sz w:val="28"/>
          <w:szCs w:val="28"/>
        </w:rPr>
      </w:pPr>
      <w:r>
        <w:rPr>
          <w:rFonts w:hint="eastAsia" w:ascii="宋体" w:hAnsi="宋体" w:cs="宋体"/>
          <w:bCs/>
          <w:sz w:val="28"/>
          <w:szCs w:val="28"/>
        </w:rPr>
        <w:t>构建“专业引领、基层夯实、梯队完备”的文艺发展支撑体系。创新国有文艺院团服务模式，推动国有文艺院团与景区、场馆合作，开展精品剧目进景区驻场演出。鼓励县级国有文艺院团结合地域特色，开展定制化演出，提升基层服务精准度。构建多层次人才队伍，形成州、县市、乡镇、村四级人才网络。引进高端人才，通过政策引导吸引高校毕业生、退休文艺工作者、区内外知名艺术家投身巴州文艺事业。</w:t>
      </w:r>
    </w:p>
    <w:bookmarkEnd w:id="19"/>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（四）繁荣互联网新大众文艺</w:t>
      </w:r>
    </w:p>
    <w:p>
      <w:pPr>
        <w:adjustRightInd w:val="0"/>
        <w:snapToGrid w:val="0"/>
        <w:spacing w:before="120" w:beforeLines="50" w:after="120" w:afterLines="50" w:line="520" w:lineRule="atLeast"/>
        <w:ind w:firstLine="560" w:firstLineChars="200"/>
        <w:rPr>
          <w:rFonts w:hint="eastAsia" w:ascii="宋体" w:hAnsi="宋体" w:cs="宋体"/>
          <w:sz w:val="28"/>
          <w:szCs w:val="28"/>
        </w:rPr>
      </w:pPr>
      <w:r>
        <w:rPr>
          <w:rFonts w:hint="eastAsia" w:ascii="宋体" w:hAnsi="宋体" w:cs="宋体"/>
          <w:sz w:val="28"/>
          <w:szCs w:val="28"/>
        </w:rPr>
        <w:t>积极参加“跟着演艺游新疆、乘着歌声游新疆”等数字化活动与项目，打造“线上线下联动、传统现代互补、精准高效覆盖”的新时代文化传播新格局。夯实线下传播阵地。强化“三馆一站”阵地建设，加强活动供给，丰富公共文化服务内容。优化“文艺进基层”布局，推动文艺演出向景区、学校、团场连队延伸。构建“全域展演网络”，在文博场馆、各大景区、城市广场等场所设置固定演出点，实现“随处可见艺术、随时感受文化”。</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（五）深化对外文化交流合作</w:t>
      </w:r>
    </w:p>
    <w:p>
      <w:pPr>
        <w:adjustRightInd w:val="0"/>
        <w:snapToGrid w:val="0"/>
        <w:spacing w:before="120" w:beforeLines="50" w:after="120" w:afterLines="50" w:line="520" w:lineRule="atLeast"/>
        <w:ind w:firstLine="560" w:firstLineChars="200"/>
        <w:rPr>
          <w:rFonts w:hint="eastAsia" w:ascii="宋体" w:hAnsi="宋体" w:cs="宋体"/>
          <w:sz w:val="28"/>
          <w:szCs w:val="28"/>
        </w:rPr>
      </w:pPr>
      <w:r>
        <w:rPr>
          <w:rFonts w:hint="eastAsia" w:ascii="宋体" w:hAnsi="宋体" w:cs="宋体"/>
          <w:sz w:val="28"/>
          <w:szCs w:val="28"/>
        </w:rPr>
        <w:t>拓展对外交流渠道。积极参与新疆文化艺术节、中国新疆国际民族舞蹈节等自治区级以上交流活动，借力高规格平台提升巴州文化知名度。积极寻求与兄弟地州建立文化交流协作关系，鼓励支持跨区域艺术展演和人才互动；加强与其他省市的文化协作，特别是与对口支援省市开展联合创作、精品巡演等合作，实施好新疆与援疆省市文化文艺精品“请进来、走出去”活动项目，推动巴州与援疆省市交流互鉴。</w:t>
      </w:r>
    </w:p>
    <w:p>
      <w:pPr>
        <w:adjustRightInd w:val="0"/>
        <w:snapToGrid w:val="0"/>
        <w:spacing w:before="120" w:beforeLines="50" w:after="120" w:afterLines="50" w:line="500" w:lineRule="atLeast"/>
        <w:ind w:firstLine="562" w:firstLineChars="200"/>
        <w:outlineLvl w:val="2"/>
        <w:rPr>
          <w:rFonts w:hint="eastAsia" w:ascii="楷体_GB2312" w:hAnsi="楷体_GB2312" w:eastAsia="楷体_GB2312" w:cs="楷体_GB2312"/>
          <w:b/>
          <w:bCs/>
          <w:sz w:val="28"/>
          <w:szCs w:val="28"/>
        </w:rPr>
      </w:pPr>
      <w:bookmarkStart w:id="20" w:name="_Hlk212802718"/>
      <w:r>
        <w:rPr>
          <w:rFonts w:hint="eastAsia" w:ascii="楷体_GB2312" w:hAnsi="楷体_GB2312" w:eastAsia="楷体_GB2312" w:cs="楷体_GB2312"/>
          <w:b/>
          <w:bCs/>
          <w:sz w:val="28"/>
          <w:szCs w:val="28"/>
        </w:rPr>
        <w:t>五、提升文化公共服务能力</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（一）完善公共文化设施网络</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bCs/>
          <w:sz w:val="28"/>
          <w:szCs w:val="28"/>
        </w:rPr>
        <w:t>优化骨干设施布局。</w:t>
      </w:r>
      <w:r>
        <w:rPr>
          <w:rFonts w:hint="eastAsia" w:ascii="宋体" w:hAnsi="宋体" w:cs="宋体"/>
          <w:sz w:val="28"/>
          <w:szCs w:val="28"/>
        </w:rPr>
        <w:t>重点打造巴州铸牢中华民族共同体意识主题展馆及巴州博物馆、尉犁县长城文化公园、拉依苏长城文化园、米兰长城文化公园、七个星佛寺遗址博物馆、巴伦台历史文化展示馆、马兰红山军博园、轮台西域都护府博物馆等八大文化载体。</w:t>
      </w:r>
      <w:r>
        <w:rPr>
          <w:rFonts w:hint="eastAsia" w:ascii="宋体" w:hAnsi="宋体" w:cs="宋体"/>
          <w:bCs/>
          <w:sz w:val="28"/>
          <w:szCs w:val="28"/>
        </w:rPr>
        <w:t>完善州级文化设施。完善提升</w:t>
      </w:r>
      <w:r>
        <w:rPr>
          <w:rFonts w:hint="eastAsia" w:ascii="宋体" w:hAnsi="宋体" w:cs="宋体"/>
          <w:sz w:val="28"/>
          <w:szCs w:val="28"/>
        </w:rPr>
        <w:t>州文化艺术中心，形成集文化馆、图书馆、美术馆、非遗展示馆等功能于一体的综合性文化地标。</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（二）提升公共文化服务效能</w:t>
      </w:r>
    </w:p>
    <w:p>
      <w:pPr>
        <w:adjustRightInd w:val="0"/>
        <w:snapToGrid w:val="0"/>
        <w:spacing w:before="120" w:beforeLines="50" w:after="120" w:afterLines="50" w:line="500" w:lineRule="atLeast"/>
        <w:ind w:firstLine="560" w:firstLineChars="200"/>
        <w:rPr>
          <w:rFonts w:hint="eastAsia" w:ascii="宋体" w:hAnsi="宋体" w:cs="宋体"/>
          <w:b/>
          <w:sz w:val="28"/>
          <w:szCs w:val="28"/>
        </w:rPr>
      </w:pPr>
      <w:r>
        <w:rPr>
          <w:rFonts w:hint="eastAsia" w:ascii="宋体" w:hAnsi="宋体" w:cs="宋体"/>
          <w:bCs/>
          <w:sz w:val="28"/>
          <w:szCs w:val="28"/>
        </w:rPr>
        <w:t>深化全民阅读服务。延长</w:t>
      </w:r>
      <w:r>
        <w:rPr>
          <w:rFonts w:hint="eastAsia" w:ascii="宋体" w:hAnsi="宋体" w:cs="宋体"/>
          <w:sz w:val="28"/>
          <w:szCs w:val="28"/>
        </w:rPr>
        <w:t>各级图书馆每周免费开放时间，普及错时、节假日开放，推动“夜间文化”服务。持续打造“书香巴州·全民阅读”品牌，开展“我们的节日”系列文化活动、全民朗读大赛、巴图讲故事、青少年诵读比赛等阅读推广活动。积极培育阅读推广人，在乡镇、村（社区）培养一批图书志愿者，以乡镇为单位每季度组织1次读书分享会。</w:t>
      </w:r>
      <w:r>
        <w:rPr>
          <w:rFonts w:hint="eastAsia" w:ascii="宋体" w:hAnsi="宋体" w:cs="宋体"/>
          <w:bCs/>
          <w:sz w:val="28"/>
          <w:szCs w:val="28"/>
        </w:rPr>
        <w:t>创新服务方式。</w:t>
      </w:r>
      <w:r>
        <w:rPr>
          <w:rFonts w:hint="eastAsia" w:ascii="宋体" w:hAnsi="宋体" w:cs="宋体"/>
          <w:sz w:val="28"/>
          <w:szCs w:val="28"/>
        </w:rPr>
        <w:t>全面落实公共图书馆、文化馆（站）、美术馆免费开放政策，完善免费开放保障机制，提升服务质量。</w:t>
      </w:r>
    </w:p>
    <w:p>
      <w:pPr>
        <w:adjustRightInd w:val="0"/>
        <w:snapToGrid w:val="0"/>
        <w:spacing w:before="120" w:beforeLines="50" w:after="120" w:afterLines="50" w:line="500" w:lineRule="atLeast"/>
        <w:ind w:firstLine="562" w:firstLineChars="200"/>
        <w:outlineLvl w:val="2"/>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六、加快</w:t>
      </w:r>
      <w:bookmarkStart w:id="21" w:name="OLE_LINK69"/>
      <w:r>
        <w:rPr>
          <w:rFonts w:hint="eastAsia" w:ascii="楷体_GB2312" w:hAnsi="楷体_GB2312" w:eastAsia="楷体_GB2312" w:cs="楷体_GB2312"/>
          <w:b/>
          <w:bCs/>
          <w:sz w:val="28"/>
          <w:szCs w:val="28"/>
        </w:rPr>
        <w:t>文化科技与数智化发展</w:t>
      </w:r>
      <w:bookmarkEnd w:id="20"/>
      <w:bookmarkEnd w:id="21"/>
    </w:p>
    <w:p>
      <w:pPr>
        <w:adjustRightInd w:val="0"/>
        <w:snapToGrid w:val="0"/>
        <w:spacing w:before="120" w:beforeLines="50" w:after="120" w:afterLines="50" w:line="460" w:lineRule="atLeast"/>
        <w:ind w:firstLine="562" w:firstLineChars="200"/>
        <w:outlineLvl w:val="3"/>
        <w:rPr>
          <w:rFonts w:hint="eastAsia" w:ascii="宋体" w:hAnsi="宋体" w:cs="宋体"/>
          <w:b/>
          <w:sz w:val="28"/>
          <w:szCs w:val="28"/>
        </w:rPr>
      </w:pPr>
      <w:bookmarkStart w:id="22" w:name="OLE_LINK66"/>
      <w:r>
        <w:rPr>
          <w:rFonts w:hint="eastAsia" w:ascii="宋体" w:hAnsi="宋体" w:cs="宋体"/>
          <w:b/>
          <w:sz w:val="28"/>
          <w:szCs w:val="28"/>
        </w:rPr>
        <w:t>（一）实施文化资源数字化工程</w:t>
      </w:r>
    </w:p>
    <w:p>
      <w:pPr>
        <w:adjustRightInd w:val="0"/>
        <w:snapToGrid w:val="0"/>
        <w:spacing w:before="120" w:beforeLines="50" w:after="120" w:afterLines="50" w:line="520" w:lineRule="atLeast"/>
        <w:ind w:firstLine="560" w:firstLineChars="200"/>
        <w:rPr>
          <w:rFonts w:hint="eastAsia" w:ascii="宋体" w:hAnsi="宋体" w:cs="宋体"/>
          <w:sz w:val="28"/>
          <w:szCs w:val="28"/>
        </w:rPr>
      </w:pPr>
      <w:r>
        <w:rPr>
          <w:rFonts w:hint="eastAsia" w:ascii="宋体" w:hAnsi="宋体" w:cs="宋体"/>
          <w:sz w:val="28"/>
          <w:szCs w:val="28"/>
        </w:rPr>
        <w:t>系统</w:t>
      </w:r>
      <w:bookmarkEnd w:id="22"/>
      <w:r>
        <w:rPr>
          <w:rFonts w:hint="eastAsia" w:ascii="宋体" w:hAnsi="宋体" w:cs="宋体"/>
          <w:sz w:val="28"/>
          <w:szCs w:val="28"/>
        </w:rPr>
        <w:t>开展文化遗产数字化保护工作，建立文化资源数字化档案库。采用高精度三维扫描、多光谱成像、无人机航拍等先进技术，对有条件的文物古迹进行全方位数据采集，建立毫米级精度的数字模型。对蒙古族刺绣、花毡、印花布织染技艺等非物质文化遗产，通过超高清影像记录、动作捕捉等技术手段，实现工艺流程和技艺精髓的数字化保存。推进数字资源活化利用，开发文物数字复原、虚拟修复等应用系统，利用AR/VR技术打造沉浸式文化体验场景，让收藏在博物馆里的文物、陈列在广阔大地上的遗产“活起来”。</w:t>
      </w:r>
    </w:p>
    <w:p>
      <w:pPr>
        <w:adjustRightInd w:val="0"/>
        <w:snapToGrid w:val="0"/>
        <w:spacing w:before="120" w:beforeLines="50" w:after="120" w:afterLines="50" w:line="460" w:lineRule="atLeast"/>
        <w:ind w:firstLine="562" w:firstLineChars="200"/>
        <w:outlineLvl w:val="3"/>
        <w:rPr>
          <w:rFonts w:hint="eastAsia" w:ascii="宋体" w:hAnsi="宋体" w:cs="宋体"/>
          <w:b/>
          <w:sz w:val="28"/>
          <w:szCs w:val="28"/>
        </w:rPr>
      </w:pPr>
      <w:bookmarkStart w:id="23" w:name="OLE_LINK67"/>
      <w:r>
        <w:rPr>
          <w:rFonts w:hint="eastAsia" w:ascii="宋体" w:hAnsi="宋体" w:cs="宋体"/>
          <w:b/>
          <w:sz w:val="28"/>
          <w:szCs w:val="28"/>
        </w:rPr>
        <w:t>（二）培育文化科技融合新业态</w:t>
      </w:r>
    </w:p>
    <w:p>
      <w:pPr>
        <w:adjustRightInd w:val="0"/>
        <w:snapToGrid w:val="0"/>
        <w:spacing w:before="120" w:beforeLines="50" w:after="120" w:afterLines="50" w:line="520" w:lineRule="atLeast"/>
        <w:ind w:firstLine="560" w:firstLineChars="200"/>
        <w:rPr>
          <w:rFonts w:hint="eastAsia" w:ascii="宋体" w:hAnsi="宋体" w:cs="宋体"/>
          <w:sz w:val="28"/>
          <w:szCs w:val="28"/>
        </w:rPr>
      </w:pPr>
      <w:r>
        <w:rPr>
          <w:rFonts w:hint="eastAsia" w:ascii="宋体" w:hAnsi="宋体" w:cs="宋体"/>
          <w:sz w:val="28"/>
          <w:szCs w:val="28"/>
        </w:rPr>
        <w:t>以数字技术创新为驱动，</w:t>
      </w:r>
      <w:bookmarkEnd w:id="23"/>
      <w:r>
        <w:rPr>
          <w:rFonts w:hint="eastAsia" w:ascii="宋体" w:hAnsi="宋体" w:cs="宋体"/>
          <w:sz w:val="28"/>
          <w:szCs w:val="28"/>
        </w:rPr>
        <w:t>推动传统文化产业转型升级。支持文化企业运用大数据、人工智能、虚拟现实等新技术，开发数字文创、网络视听、沉浸式演艺等新兴业态。谋划文化产业园区建设，为中小微文化企业提供技术支撑、创业辅导、融资对接等一站式服务。鼓励文博场馆、旅游景区与科技企业合作，开发数字展览、云演艺、智慧剧场等创新应用。</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bookmarkStart w:id="24" w:name="OLE_LINK68"/>
      <w:r>
        <w:rPr>
          <w:rFonts w:hint="eastAsia" w:ascii="宋体" w:hAnsi="宋体" w:cs="宋体"/>
          <w:b/>
          <w:sz w:val="28"/>
          <w:szCs w:val="28"/>
        </w:rPr>
        <w:t>（三）构建文化数智化治理体系</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运用数字技</w:t>
      </w:r>
      <w:bookmarkEnd w:id="24"/>
      <w:r>
        <w:rPr>
          <w:rFonts w:hint="eastAsia" w:ascii="宋体" w:hAnsi="宋体" w:cs="宋体"/>
          <w:sz w:val="28"/>
          <w:szCs w:val="28"/>
        </w:rPr>
        <w:t>术提升文化治理现代化水平。建设巴州文化市场智能监管平台，整合网络文化市场监测、版权保护、内容审核等功能，实现对文化市场运行态势的实时感知和风险预警。完善文化产业发展决策支持系统，构建文化产业统计监测指标体系，通过大数据分析为产业规划、政策制定提供科学依据。推进“互联网+政务服务”在文化领域的深度应用，实现文化行政审批事项“一网通办”，提升政务服务水平。</w:t>
      </w:r>
    </w:p>
    <w:p>
      <w:pPr>
        <w:adjustRightInd w:val="0"/>
        <w:snapToGrid w:val="0"/>
        <w:spacing w:before="240" w:beforeLines="100" w:after="240" w:afterLines="100" w:line="500" w:lineRule="atLeast"/>
        <w:jc w:val="center"/>
        <w:outlineLvl w:val="1"/>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第二节  文旅融合促进行稳致远</w:t>
      </w:r>
    </w:p>
    <w:p>
      <w:pPr>
        <w:adjustRightInd w:val="0"/>
        <w:snapToGrid w:val="0"/>
        <w:spacing w:before="120" w:beforeLines="50" w:after="120" w:afterLines="50" w:line="500" w:lineRule="atLeast"/>
        <w:ind w:firstLine="560" w:firstLineChars="200"/>
        <w:rPr>
          <w:rFonts w:hint="eastAsia" w:ascii="宋体" w:hAnsi="宋体" w:cs="宋体"/>
          <w:sz w:val="28"/>
          <w:szCs w:val="28"/>
        </w:rPr>
      </w:pPr>
      <w:bookmarkStart w:id="25" w:name="OLE_LINK13"/>
      <w:r>
        <w:rPr>
          <w:rFonts w:hint="eastAsia" w:ascii="宋体" w:hAnsi="宋体" w:cs="宋体"/>
          <w:sz w:val="28"/>
          <w:szCs w:val="28"/>
        </w:rPr>
        <w:t>坚持以文塑旅、以旅彰文，</w:t>
      </w:r>
      <w:r>
        <w:rPr>
          <w:rFonts w:ascii="宋体" w:hAnsi="宋体" w:cs="宋体"/>
          <w:sz w:val="28"/>
          <w:szCs w:val="28"/>
        </w:rPr>
        <w:t>坚持守正创新、提质增效、融合发展</w:t>
      </w:r>
      <w:r>
        <w:rPr>
          <w:rFonts w:hint="eastAsia" w:ascii="宋体" w:hAnsi="宋体" w:cs="宋体"/>
          <w:sz w:val="28"/>
          <w:szCs w:val="28"/>
        </w:rPr>
        <w:t>，主客共享，在领略自然之美中感悟文化之美、陶冶心灵之美，推动巴州旅游高质量发展行稳致远。</w:t>
      </w:r>
    </w:p>
    <w:p>
      <w:pPr>
        <w:adjustRightInd w:val="0"/>
        <w:snapToGrid w:val="0"/>
        <w:spacing w:before="120" w:beforeLines="50" w:after="120" w:afterLines="50" w:line="500" w:lineRule="atLeast"/>
        <w:ind w:firstLine="562" w:firstLineChars="200"/>
        <w:outlineLvl w:val="2"/>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一、共筑美好文旅生活</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（一）建设城市文旅会客厅</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依托关键文化或旅游地标，统一建设、服务标准，构建“一核多极”的城市文旅会客厅体系。在库尔勒市打造代表巴州的核心会客厅，将其打造为展示巴州多元文化与旅游产品的文旅窗口。在和静、尉犁、若羌、轮台、和硕、且末、焉耆，结合东归文化、楼兰文化、历史文化（西域都护府）、马兰红色文化、玉石文化、焉耆葡萄酒文化等自身特色打造分客厅。</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bookmarkStart w:id="26" w:name="OLE_LINK27"/>
      <w:r>
        <w:rPr>
          <w:rFonts w:hint="eastAsia" w:ascii="宋体" w:hAnsi="宋体" w:cs="宋体"/>
          <w:b/>
          <w:sz w:val="28"/>
          <w:szCs w:val="28"/>
        </w:rPr>
        <w:t>（二）打造城乡</w:t>
      </w:r>
      <w:bookmarkStart w:id="27" w:name="OLE_LINK15"/>
      <w:r>
        <w:rPr>
          <w:rFonts w:hint="eastAsia" w:ascii="宋体" w:hAnsi="宋体" w:cs="宋体"/>
          <w:b/>
          <w:sz w:val="28"/>
          <w:szCs w:val="28"/>
        </w:rPr>
        <w:t>文旅休闲圈</w:t>
      </w:r>
    </w:p>
    <w:bookmarkEnd w:id="26"/>
    <w:bookmarkEnd w:id="27"/>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构建“城区—乡镇—村落”三级文旅休闲网络。在城市公园、旅游景区、居民小区等人员集中场所建设更多便于群众参与的嵌入式、融合式、小而美公共文化空间，配套建设便民步道、休憩座椅、智能健身设施，实现步行15分钟可达文化休闲节点。</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（三）开展常态化文旅惠民</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建立“季季有主题、月月有活动”的惠民活动机制，结合季节特色与文化节点策划系列活动，年均举办各类文旅活动不少于120场。开展文化下基层活动，组织国有文艺院团、非遗传承人深入乡村、社区、学校开展巡演、展览、培训等活动，年均开展基层惠民演出不少于80场、非遗体验活动不少于50场，让各族群众共享文旅发展成果。</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bookmarkStart w:id="28" w:name="OLE_LINK21"/>
      <w:r>
        <w:rPr>
          <w:rFonts w:hint="eastAsia" w:ascii="宋体" w:hAnsi="宋体" w:cs="宋体"/>
          <w:b/>
          <w:sz w:val="28"/>
          <w:szCs w:val="28"/>
        </w:rPr>
        <w:t>（四）构建全民健身服务体系</w:t>
      </w:r>
      <w:bookmarkEnd w:id="28"/>
    </w:p>
    <w:p>
      <w:pPr>
        <w:adjustRightInd w:val="0"/>
        <w:snapToGrid w:val="0"/>
        <w:spacing w:before="120" w:beforeLines="50" w:after="120" w:afterLines="50" w:line="480" w:lineRule="exact"/>
        <w:ind w:firstLine="560" w:firstLineChars="200"/>
        <w:rPr>
          <w:rFonts w:hint="eastAsia" w:ascii="宋体" w:hAnsi="宋体" w:cs="宋体"/>
          <w:sz w:val="28"/>
          <w:szCs w:val="28"/>
        </w:rPr>
      </w:pPr>
      <w:r>
        <w:rPr>
          <w:rFonts w:hint="eastAsia" w:ascii="宋体" w:hAnsi="宋体" w:cs="宋体"/>
          <w:bCs/>
          <w:sz w:val="28"/>
          <w:szCs w:val="28"/>
        </w:rPr>
        <w:t>推进州级全民健身中心建设</w:t>
      </w:r>
      <w:r>
        <w:rPr>
          <w:rFonts w:hint="eastAsia" w:ascii="宋体" w:hAnsi="宋体" w:cs="宋体"/>
          <w:sz w:val="28"/>
          <w:szCs w:val="28"/>
        </w:rPr>
        <w:t>，各县市建设中小型全民健身中心或体育公园，鼓励有条件的县市建设游泳馆、体育馆等，</w:t>
      </w:r>
      <w:r>
        <w:rPr>
          <w:rFonts w:hint="eastAsia" w:ascii="宋体" w:hAnsi="宋体" w:cs="宋体"/>
          <w:bCs/>
          <w:sz w:val="28"/>
          <w:szCs w:val="28"/>
        </w:rPr>
        <w:t>优化提升乡镇（街道）和村（社区）健身设施水平，持续推进“15分钟健身圈”建设。</w:t>
      </w:r>
      <w:r>
        <w:rPr>
          <w:rFonts w:hint="eastAsia" w:ascii="宋体" w:hAnsi="宋体" w:cs="宋体"/>
          <w:sz w:val="28"/>
          <w:szCs w:val="28"/>
        </w:rPr>
        <w:t>加强体育社会组织建设，提升科学健身指导水平，</w:t>
      </w:r>
      <w:r>
        <w:rPr>
          <w:rFonts w:hint="eastAsia" w:ascii="宋体" w:hAnsi="宋体" w:cs="宋体"/>
          <w:bCs/>
          <w:sz w:val="28"/>
          <w:szCs w:val="28"/>
        </w:rPr>
        <w:t>打造全民健身活动品牌，</w:t>
      </w:r>
      <w:r>
        <w:rPr>
          <w:rFonts w:hint="eastAsia" w:ascii="宋体" w:hAnsi="宋体" w:cs="宋体"/>
          <w:sz w:val="28"/>
          <w:szCs w:val="28"/>
        </w:rPr>
        <w:t>持续开展“全民健身日”“传统体育项目进社区、进乡村”“健身指导下基层”等主题活动，推动全民健身常态化、生活化。</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（五）建设系统化志愿服务</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构建“</w:t>
      </w:r>
      <w:bookmarkStart w:id="29" w:name="OLE_LINK48"/>
      <w:r>
        <w:rPr>
          <w:rFonts w:hint="eastAsia" w:ascii="宋体" w:hAnsi="宋体" w:cs="宋体"/>
          <w:sz w:val="28"/>
          <w:szCs w:val="28"/>
        </w:rPr>
        <w:t>巴州文旅志愿服务总队</w:t>
      </w:r>
      <w:bookmarkEnd w:id="29"/>
      <w:r>
        <w:rPr>
          <w:rFonts w:hint="eastAsia" w:ascii="宋体" w:hAnsi="宋体" w:cs="宋体"/>
          <w:sz w:val="28"/>
          <w:szCs w:val="28"/>
        </w:rPr>
        <w:t>，各县市设立分队”的文旅志愿队伍体系，吸纳文化工作者、导游员、讲解员、在校学生、退休人员等群体加入。建立分层分类培训机制，联合高校、文旅企业开展导游讲解、非遗传承、应急救援等专项培训，每年培训不少于2000人次，提升志愿服务专业化水平。</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（六）一体化推进“促三交”</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推动各族群众参与文旅共建共治共享，依托文博场馆、旅游景区景点、重大节事活动，全方位、全产业实施文化和旅游促进各民族交往交流交融，推动铸牢中华民族共同体意识有形有感有效落地。主动对接国家、自治区部署，将旅游促“三交”计划与“各族青少年交流计划”“各族群众互嵌式发展计划”等专项计划一体化谋划、落实，形成工作合力。</w:t>
      </w:r>
    </w:p>
    <w:p>
      <w:pPr>
        <w:adjustRightInd w:val="0"/>
        <w:snapToGrid w:val="0"/>
        <w:spacing w:before="120" w:beforeLines="50" w:after="120" w:afterLines="50" w:line="500" w:lineRule="atLeast"/>
        <w:ind w:firstLine="562" w:firstLineChars="200"/>
        <w:outlineLvl w:val="2"/>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二、提供优质旅游产品</w:t>
      </w:r>
    </w:p>
    <w:p>
      <w:pPr>
        <w:adjustRightInd w:val="0"/>
        <w:snapToGrid w:val="0"/>
        <w:spacing w:before="120" w:beforeLines="50" w:after="120" w:afterLines="50" w:line="520" w:lineRule="atLeast"/>
        <w:ind w:firstLine="560" w:firstLineChars="200"/>
        <w:rPr>
          <w:rFonts w:hint="eastAsia" w:ascii="宋体" w:hAnsi="宋体" w:cs="宋体"/>
          <w:sz w:val="28"/>
          <w:szCs w:val="28"/>
        </w:rPr>
      </w:pPr>
      <w:r>
        <w:rPr>
          <w:rFonts w:hint="eastAsia" w:ascii="宋体" w:hAnsi="宋体" w:cs="宋体"/>
          <w:sz w:val="28"/>
          <w:szCs w:val="28"/>
        </w:rPr>
        <w:t>依托世界级旅游资源，深化文旅融合，加强数智赋能，倡导绿色发展，全力打造观光、度假、自驾三大旅游精品，构建以高等级景区与度假区为主体的文旅产业格局，打造百亿级产业集群。</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（一）做强观光产品</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实施精品景区提升工程，强基焕新，构建3大世界级品牌矩阵，轮台、尉犁、且末等县联合推动塔克拉玛干沙漠—胡杨林世界自然遗产申报，谋划巩乃斯景区提升与创建世界地质公园，升级新疆天山巴音布鲁克世界遗产地建设水平。丰富高等级景区数量，构建巴州“1+4+15+N”景区体系：1个国家公园，谋划昆仑山国家公园创建，形成中国西部重要生态保护与旅游体验区；4个国家5A级旅游景区，重点推进巴音布鲁克与博斯腾湖设施提质、服务国际化，强化景区文化内涵，推动罗布人村寨、马兰红山军博园创建；15个国家4A级旅游景区，动态推进且末托盖布拉克景区、库尔勒体育公园、且末县塔中沙漠工业旅游区等，新创建一批国家4A级旅游景区；N个国家3A级旅游景区，重点提升尉犁红色达西、和静东归生态公园配套，打造焉耆县中菲小镇，形成分布合理、层次清晰的景区体系。</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（二）做精度假产品</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实施康养度假区培育工程，构建“1+2+N”旅游度假区体系：“1”即创建金沙滩国家级旅游度假区，打造集沙滩休闲、水上运动、康养理疗于一体的综合性目的地；“2”即推动巩乃斯景区与罗布人村寨建设自治区级旅游度假区，发展温泉理疗、草原疗养、民族康养；“N”即培育焉耆盆地葡萄酒观光产业园、阿尔先温泉中医药健康旅游示范基地、巩乃斯“东方瑞士”温泉度假村等旅游度假项目，在焉耆县、和静县等县依托乡村旅游资源建设主题型旅游度假区。</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（三）完善自驾产品</w:t>
      </w:r>
    </w:p>
    <w:p>
      <w:pPr>
        <w:adjustRightInd w:val="0"/>
        <w:snapToGrid w:val="0"/>
        <w:spacing w:before="120" w:beforeLines="50" w:after="120" w:afterLines="50" w:line="480" w:lineRule="atLeast"/>
        <w:ind w:firstLine="560" w:firstLineChars="200"/>
        <w:rPr>
          <w:rFonts w:hint="eastAsia" w:ascii="宋体" w:hAnsi="宋体" w:cs="宋体"/>
          <w:color w:val="000000"/>
          <w:kern w:val="0"/>
          <w:sz w:val="28"/>
          <w:szCs w:val="28"/>
        </w:rPr>
      </w:pPr>
      <w:r>
        <w:rPr>
          <w:rFonts w:hint="eastAsia" w:ascii="宋体" w:hAnsi="宋体" w:cs="宋体"/>
          <w:color w:val="000000"/>
          <w:kern w:val="0"/>
          <w:sz w:val="28"/>
          <w:szCs w:val="28"/>
        </w:rPr>
        <w:t>实施自驾线路优化工程，加快构建“疆内双环线+进疆通道线”格局，建设“环博斯腾湖”“塔河生态”“草原牧歌”“沙漠探险”等精品线路，形成覆盖主要景区、串联主要节点的交通网络。实施“交通畅联工程”，打通断头路、改造旅游专线，推进景区间道路直通。以库尔勒、和静、且末、若羌为集散枢纽，建设自驾游集散中心与综合服务区，设计“红色记忆之旅”“丝路探源之旅”“沙海秘境之旅”等主题线路，构建主题化自驾体验体系。实施营地体系提升工程，依托旅游风景道、主要文化和旅游功能区、旅游村镇等，建设</w:t>
      </w:r>
      <w:bookmarkStart w:id="30" w:name="OLE_LINK63"/>
      <w:r>
        <w:rPr>
          <w:rFonts w:hint="eastAsia" w:ascii="宋体" w:hAnsi="宋体" w:cs="宋体"/>
          <w:color w:val="000000"/>
          <w:kern w:val="0"/>
          <w:sz w:val="28"/>
          <w:szCs w:val="28"/>
        </w:rPr>
        <w:t>自驾车旅居车营地</w:t>
      </w:r>
      <w:bookmarkEnd w:id="30"/>
      <w:r>
        <w:rPr>
          <w:rFonts w:hint="eastAsia" w:ascii="宋体" w:hAnsi="宋体" w:cs="宋体"/>
          <w:color w:val="000000"/>
          <w:kern w:val="0"/>
          <w:sz w:val="28"/>
          <w:szCs w:val="28"/>
        </w:rPr>
        <w:t>体系，打造高标准营地，完善补给、充电、餐饮、维修、租赁服务。结合城郊休闲、滨水度假、沙漠探险、草原露营、胡杨观星等，发展车宿、篝火、摄影、音乐活动。</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（四）提质餐饮服务</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坚持“食材本味</w:t>
      </w:r>
      <w:r>
        <w:rPr>
          <w:rFonts w:ascii="宋体" w:hAnsi="宋体" w:cs="宋体"/>
          <w:sz w:val="28"/>
          <w:szCs w:val="28"/>
        </w:rPr>
        <w:t>+</w:t>
      </w:r>
      <w:r>
        <w:rPr>
          <w:rFonts w:hint="eastAsia" w:ascii="宋体" w:hAnsi="宋体" w:cs="宋体"/>
          <w:sz w:val="28"/>
          <w:szCs w:val="28"/>
        </w:rPr>
        <w:t>文化赋能”，巩固提升“遇见巴州·食在巴州”特色品牌，强化“每道美食都是巴州故事”定位。实施餐饮品质提升工程，推动美食品牌化、特色化、集聚化发展。依托库尔勒、博湖、焉耆、和硕建设“食在巴州”示范街区，塑造“西海鱼鲜”“九碗三行子”“库尔勒香梨宴”等标志性地域餐饮品牌；推动“农特产品</w:t>
      </w:r>
      <w:r>
        <w:rPr>
          <w:rFonts w:ascii="宋体" w:hAnsi="宋体" w:cs="宋体"/>
          <w:sz w:val="28"/>
          <w:szCs w:val="28"/>
        </w:rPr>
        <w:t>+</w:t>
      </w:r>
      <w:r>
        <w:rPr>
          <w:rFonts w:hint="eastAsia" w:ascii="宋体" w:hAnsi="宋体" w:cs="宋体"/>
          <w:sz w:val="28"/>
          <w:szCs w:val="28"/>
        </w:rPr>
        <w:t>餐饮</w:t>
      </w:r>
      <w:r>
        <w:rPr>
          <w:rFonts w:ascii="宋体" w:hAnsi="宋体" w:cs="宋体"/>
          <w:sz w:val="28"/>
          <w:szCs w:val="28"/>
        </w:rPr>
        <w:t>+</w:t>
      </w:r>
      <w:r>
        <w:rPr>
          <w:rFonts w:hint="eastAsia" w:ascii="宋体" w:hAnsi="宋体" w:cs="宋体"/>
          <w:sz w:val="28"/>
          <w:szCs w:val="28"/>
        </w:rPr>
        <w:t>文创”融合，开发鱼制品、白杏果酱、葡萄酒、梨膏、梨酒等伴手礼，拓展美食产业链。</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bookmarkStart w:id="31" w:name="OLE_LINK23"/>
      <w:r>
        <w:rPr>
          <w:rFonts w:hint="eastAsia" w:ascii="宋体" w:hAnsi="宋体" w:cs="宋体"/>
          <w:b/>
          <w:sz w:val="28"/>
          <w:szCs w:val="28"/>
        </w:rPr>
        <w:t>（五）提升住宿品质</w:t>
      </w:r>
    </w:p>
    <w:bookmarkEnd w:id="31"/>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实施“乐宿巴州”行动，构建“高端酒店—精品民宿—青年驿站—旅居营地”多层次住宿体系，推进住宿品质升级。</w:t>
      </w:r>
      <w:r>
        <w:rPr>
          <w:rFonts w:hint="eastAsia" w:ascii="宋体" w:hAnsi="宋体" w:cs="宋体"/>
          <w:color w:val="000000" w:themeColor="text1"/>
          <w:sz w:val="28"/>
          <w:szCs w:val="28"/>
          <w14:textFill>
            <w14:solidFill>
              <w14:schemeClr w14:val="tx1"/>
            </w14:solidFill>
          </w14:textFill>
        </w:rPr>
        <w:t>推动星级酒店提档升级，引导连锁酒店落地，推广“绿色饭店”“低碳住宿”标准。</w:t>
      </w:r>
      <w:r>
        <w:rPr>
          <w:rFonts w:hint="eastAsia" w:ascii="宋体" w:hAnsi="宋体" w:cs="宋体"/>
          <w:sz w:val="28"/>
          <w:szCs w:val="28"/>
        </w:rPr>
        <w:t>推动乡村民宿集群发展。</w:t>
      </w:r>
      <w:r>
        <w:rPr>
          <w:rFonts w:ascii="宋体" w:hAnsi="宋体" w:cs="宋体"/>
          <w:sz w:val="28"/>
          <w:szCs w:val="28"/>
        </w:rPr>
        <w:t>聚焦乡村民宿集群培育行动，鼓励博湖、若羌、且末等重点县</w:t>
      </w:r>
      <w:r>
        <w:rPr>
          <w:rFonts w:hint="eastAsia" w:ascii="宋体" w:hAnsi="宋体" w:cs="宋体"/>
          <w:sz w:val="28"/>
          <w:szCs w:val="28"/>
        </w:rPr>
        <w:t>市</w:t>
      </w:r>
      <w:r>
        <w:rPr>
          <w:rFonts w:ascii="宋体" w:hAnsi="宋体" w:cs="宋体"/>
          <w:sz w:val="28"/>
          <w:szCs w:val="28"/>
        </w:rPr>
        <w:t>打造民宿集群示范。落实民宿设计、服务、运营、营销四大支持机制，推动“胡杨小院”“牧野精品屋”“渔乡雅宿”等典型产品落地。</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（六）扩大旅游购物</w:t>
      </w:r>
    </w:p>
    <w:p>
      <w:pPr>
        <w:adjustRightInd w:val="0"/>
        <w:snapToGrid w:val="0"/>
        <w:spacing w:before="120" w:beforeLines="50" w:after="120" w:afterLines="50" w:line="500" w:lineRule="atLeast"/>
        <w:ind w:firstLine="560" w:firstLineChars="200"/>
        <w:rPr>
          <w:rFonts w:hint="eastAsia" w:ascii="宋体" w:hAnsi="宋体" w:cs="宋体"/>
          <w:color w:val="000000" w:themeColor="text1"/>
          <w:sz w:val="28"/>
          <w:szCs w:val="28"/>
          <w14:textFill>
            <w14:solidFill>
              <w14:schemeClr w14:val="tx1"/>
            </w14:solidFill>
          </w14:textFill>
        </w:rPr>
      </w:pPr>
      <w:r>
        <w:rPr>
          <w:rFonts w:hint="eastAsia" w:ascii="宋体" w:hAnsi="宋体" w:cs="宋体"/>
          <w:sz w:val="28"/>
          <w:szCs w:val="28"/>
        </w:rPr>
        <w:t>依托县市中心商圈建设旅游购物集聚区。依托昆仑金山集群发展玉石饰品、玉雕摆件等购品。整合农旅资源开发红枣礼盒、灰枣脆片、香梨膏等果蔬产品。挖掘非遗资源设计胡杨文创、烽燧模型、佛寺壁画复刻品、芦苇画、蒙古族刺绣，拓展“巴州好礼”品类，形成楼兰文创、胡杨工艺、玉石珠宝、军垦产品、葡萄酒、香梨制品等系列文旅商品。</w:t>
      </w:r>
    </w:p>
    <w:p>
      <w:pPr>
        <w:adjustRightInd w:val="0"/>
        <w:snapToGrid w:val="0"/>
        <w:spacing w:before="120" w:beforeLines="50" w:after="120" w:afterLines="50" w:line="500" w:lineRule="atLeast"/>
        <w:ind w:firstLine="562" w:firstLineChars="200"/>
        <w:outlineLvl w:val="2"/>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三、深度融合文旅产业</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（一）“文旅+农业”</w:t>
      </w:r>
    </w:p>
    <w:p>
      <w:pPr>
        <w:adjustRightInd w:val="0"/>
        <w:snapToGrid w:val="0"/>
        <w:spacing w:before="120" w:beforeLines="50" w:after="120" w:afterLines="50" w:line="480" w:lineRule="atLeast"/>
        <w:ind w:firstLine="562" w:firstLineChars="200"/>
        <w:rPr>
          <w:rFonts w:hint="eastAsia" w:ascii="宋体" w:hAnsi="宋体" w:cs="宋体"/>
          <w:sz w:val="28"/>
          <w:szCs w:val="28"/>
        </w:rPr>
      </w:pPr>
      <w:r>
        <w:rPr>
          <w:rFonts w:hint="eastAsia" w:ascii="宋体" w:hAnsi="宋体" w:cs="宋体"/>
          <w:b/>
          <w:bCs/>
          <w:sz w:val="28"/>
          <w:szCs w:val="28"/>
        </w:rPr>
        <w:t>延长乡村文旅产业链</w:t>
      </w:r>
      <w:r>
        <w:rPr>
          <w:rFonts w:hint="eastAsia" w:ascii="宋体" w:hAnsi="宋体" w:cs="宋体"/>
          <w:sz w:val="28"/>
          <w:szCs w:val="28"/>
        </w:rPr>
        <w:t>。以特色农（牧）业为基础，打造“农业观光+农事体验+农产品加工”的全链条融合模式。重点推进库尔勒香梨、和静草莓、焉耆葡萄、轮台白杏、若羌红枣、和硕“三红”、博湖辣椒等农副产品，产业化、旅游化发展。在库尔勒、焉耆、和硕等地打造香梨观光廊道、葡萄文化园，推动焉耆盆地产区围绕“一湖四县”做强葡萄酒旅游，配套建设农耕（采摘）体验区、农产品展示中心，推出“香梨研学”“葡萄寻味”等特色线路。</w:t>
      </w:r>
    </w:p>
    <w:p>
      <w:pPr>
        <w:adjustRightInd w:val="0"/>
        <w:snapToGrid w:val="0"/>
        <w:spacing w:before="120" w:beforeLines="50" w:after="120" w:afterLines="50" w:line="500" w:lineRule="atLeast"/>
        <w:ind w:firstLine="562" w:firstLineChars="200"/>
        <w:rPr>
          <w:rFonts w:ascii="宋体" w:hAnsi="宋体" w:cs="宋体"/>
          <w:sz w:val="28"/>
          <w:szCs w:val="28"/>
        </w:rPr>
      </w:pPr>
      <w:bookmarkStart w:id="32" w:name="OLE_LINK39"/>
      <w:bookmarkStart w:id="33" w:name="OLE_LINK26"/>
      <w:r>
        <w:rPr>
          <w:rFonts w:ascii="宋体" w:hAnsi="宋体" w:cs="宋体"/>
          <w:b/>
          <w:bCs/>
          <w:sz w:val="28"/>
          <w:szCs w:val="28"/>
        </w:rPr>
        <w:t>打造乡村</w:t>
      </w:r>
      <w:r>
        <w:rPr>
          <w:rFonts w:ascii="宋体" w:hAnsi="宋体" w:cs="宋体"/>
          <w:b/>
          <w:sz w:val="28"/>
          <w:szCs w:val="28"/>
        </w:rPr>
        <w:t>旅游</w:t>
      </w:r>
      <w:r>
        <w:rPr>
          <w:rFonts w:ascii="宋体" w:hAnsi="宋体" w:cs="宋体"/>
          <w:b/>
          <w:bCs/>
          <w:sz w:val="28"/>
          <w:szCs w:val="28"/>
        </w:rPr>
        <w:t>精品带</w:t>
      </w:r>
      <w:r>
        <w:rPr>
          <w:rFonts w:hint="eastAsia" w:ascii="宋体" w:hAnsi="宋体" w:cs="宋体"/>
          <w:b/>
          <w:bCs/>
          <w:sz w:val="28"/>
          <w:szCs w:val="28"/>
        </w:rPr>
        <w:t>。</w:t>
      </w:r>
      <w:bookmarkEnd w:id="32"/>
      <w:r>
        <w:rPr>
          <w:rFonts w:ascii="宋体" w:hAnsi="宋体" w:cs="宋体"/>
          <w:sz w:val="28"/>
          <w:szCs w:val="28"/>
        </w:rPr>
        <w:t>规划构建“草原牧歌带”“湖泊田园带”“沙漠绿洲带”三条乡村旅游精品带。串联焉耆、和硕、和静、若羌等地的自然风光、民俗风情、历史遗迹，形成“点线面结合”的乡村旅游网络。推动各县市发展生态体验、康养度假、研学科考、民俗</w:t>
      </w:r>
      <w:r>
        <w:rPr>
          <w:rFonts w:hint="eastAsia" w:ascii="宋体" w:hAnsi="宋体" w:cs="宋体"/>
          <w:sz w:val="28"/>
          <w:szCs w:val="28"/>
        </w:rPr>
        <w:t>活动</w:t>
      </w:r>
      <w:r>
        <w:rPr>
          <w:rFonts w:ascii="宋体" w:hAnsi="宋体" w:cs="宋体"/>
          <w:sz w:val="28"/>
          <w:szCs w:val="28"/>
        </w:rPr>
        <w:t>等差异化产品，实现“一区一品牌、一村一特色”，打造高质量乡村旅游走廊。</w:t>
      </w:r>
      <w:bookmarkEnd w:id="33"/>
    </w:p>
    <w:p>
      <w:pPr>
        <w:adjustRightInd w:val="0"/>
        <w:snapToGrid w:val="0"/>
        <w:spacing w:before="120" w:beforeLines="50" w:after="120" w:afterLines="50" w:line="500" w:lineRule="atLeast"/>
        <w:ind w:firstLine="562" w:firstLineChars="200"/>
        <w:rPr>
          <w:rFonts w:hint="eastAsia" w:ascii="宋体" w:hAnsi="宋体" w:cs="宋体"/>
          <w:sz w:val="28"/>
          <w:szCs w:val="28"/>
        </w:rPr>
      </w:pPr>
      <w:r>
        <w:rPr>
          <w:rFonts w:hint="eastAsia" w:ascii="宋体" w:hAnsi="宋体" w:cs="宋体"/>
          <w:b/>
          <w:sz w:val="28"/>
          <w:szCs w:val="28"/>
        </w:rPr>
        <w:t>农文旅体商一体融合。</w:t>
      </w:r>
      <w:r>
        <w:rPr>
          <w:rFonts w:hint="eastAsia" w:ascii="宋体" w:hAnsi="宋体" w:cs="宋体"/>
          <w:sz w:val="28"/>
          <w:szCs w:val="28"/>
        </w:rPr>
        <w:t>统筹农牧种养加工、商贸展销、户外运动、全域旅游资源推进农文旅体商一体化发展。依托香梨、红枣、葡萄酒、畜牧特色产业打造田园综合体，布局采摘工坊、农创市集、特色美食街区完善商贸配套；串联环湖骑行、草原赛马、沙漠越野、冰雪赛事等户外资源，打造农产体验+运动休闲一体化精品线路。完善自驾营地、乡村民宿、研学基地配套，打通种养、加工、赛事、观光、展销全链条，培育四季农文旅体商复合新业态。</w:t>
      </w:r>
    </w:p>
    <w:p>
      <w:pPr>
        <w:adjustRightInd w:val="0"/>
        <w:snapToGrid w:val="0"/>
        <w:spacing w:before="120" w:beforeLines="50" w:after="120" w:afterLines="50" w:line="480" w:lineRule="atLeast"/>
        <w:ind w:firstLine="562" w:firstLineChars="200"/>
        <w:rPr>
          <w:rFonts w:hint="eastAsia" w:ascii="宋体" w:hAnsi="宋体" w:cs="宋体"/>
          <w:sz w:val="28"/>
          <w:szCs w:val="28"/>
        </w:rPr>
      </w:pPr>
      <w:r>
        <w:rPr>
          <w:rFonts w:ascii="宋体" w:hAnsi="宋体" w:cs="宋体"/>
          <w:b/>
          <w:bCs/>
          <w:sz w:val="28"/>
          <w:szCs w:val="28"/>
        </w:rPr>
        <w:t>提升乡村旅游</w:t>
      </w:r>
      <w:r>
        <w:rPr>
          <w:rFonts w:ascii="宋体" w:hAnsi="宋体" w:cs="宋体"/>
          <w:b/>
          <w:sz w:val="28"/>
          <w:szCs w:val="28"/>
        </w:rPr>
        <w:t>服务</w:t>
      </w:r>
      <w:r>
        <w:rPr>
          <w:rFonts w:ascii="宋体" w:hAnsi="宋体" w:cs="宋体"/>
          <w:b/>
          <w:bCs/>
          <w:sz w:val="28"/>
          <w:szCs w:val="28"/>
        </w:rPr>
        <w:t>质量</w:t>
      </w:r>
      <w:r>
        <w:rPr>
          <w:rFonts w:hint="eastAsia" w:ascii="宋体" w:hAnsi="宋体" w:cs="宋体"/>
          <w:b/>
          <w:bCs/>
          <w:sz w:val="28"/>
          <w:szCs w:val="28"/>
        </w:rPr>
        <w:t>。</w:t>
      </w:r>
      <w:r>
        <w:rPr>
          <w:rFonts w:ascii="宋体" w:hAnsi="宋体" w:cs="宋体"/>
          <w:sz w:val="28"/>
          <w:szCs w:val="28"/>
        </w:rPr>
        <w:t>建立统一的乡村旅游服务标准体系，覆盖环境卫生、住宿服务、导览讲解、安全保障、投诉反馈等关键环节。开展“乡村旅游服务提升年”活动，对乡村从业者进行导游讲解、餐饮服务、网络营销、消防安全等培训，提升服务专业化水平。建设智慧旅游平台，覆盖乡村景点预约、游客导航、支付结算、评价反馈等功能，实现“一码通行、智慧服务”。配齐旅游厕所、停车场、无障碍设施、乡村驿站等乡村基础设施，提升游客舒适度。开展游客满意度监测，并根据反馈推动持续改进。</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bookmarkStart w:id="34" w:name="OLE_LINK28"/>
      <w:r>
        <w:rPr>
          <w:rFonts w:hint="eastAsia" w:ascii="宋体" w:hAnsi="宋体" w:cs="宋体"/>
          <w:b/>
          <w:sz w:val="28"/>
          <w:szCs w:val="28"/>
        </w:rPr>
        <w:t>（二）“文旅+工业”</w:t>
      </w:r>
    </w:p>
    <w:bookmarkEnd w:id="34"/>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深挖工业遗产与特色产业资源，推动工业与文旅深度融合。活化利用</w:t>
      </w:r>
      <w:bookmarkStart w:id="35" w:name="OLE_LINK18"/>
      <w:r>
        <w:rPr>
          <w:rFonts w:hint="eastAsia" w:ascii="宋体" w:hAnsi="宋体" w:cs="宋体"/>
          <w:sz w:val="28"/>
          <w:szCs w:val="28"/>
        </w:rPr>
        <w:t>马兰红山军博园</w:t>
      </w:r>
      <w:bookmarkEnd w:id="35"/>
      <w:r>
        <w:rPr>
          <w:rFonts w:hint="eastAsia" w:ascii="宋体" w:hAnsi="宋体" w:cs="宋体"/>
          <w:sz w:val="28"/>
          <w:szCs w:val="28"/>
        </w:rPr>
        <w:t>核工业遗迹资源，完善景区基础设施建设，打造集红色教育、工业怀旧、科普体验于一体的工业旅游示范基地，开发核工业历史研学、军事体验等特色项目，逐步推进国家5A级旅游景区创建。</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（三）“文旅+康养”</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构建“生态康养+民俗康养+运动康养”多元体系。在巩乃斯、巴音布鲁克、焉耆盆地、沙漠边缘等生态优势区域，打造森林康养基地、草原度假康养区、</w:t>
      </w:r>
      <w:bookmarkStart w:id="36" w:name="OLE_LINK17"/>
      <w:r>
        <w:rPr>
          <w:rFonts w:hint="eastAsia" w:ascii="宋体" w:hAnsi="宋体" w:cs="宋体"/>
          <w:sz w:val="28"/>
          <w:szCs w:val="28"/>
        </w:rPr>
        <w:t>红酒养生基地、沙疗康养度假区</w:t>
      </w:r>
      <w:bookmarkEnd w:id="36"/>
      <w:r>
        <w:rPr>
          <w:rFonts w:hint="eastAsia" w:ascii="宋体" w:hAnsi="宋体" w:cs="宋体"/>
          <w:sz w:val="28"/>
          <w:szCs w:val="28"/>
        </w:rPr>
        <w:t>，配套建设康养酒店、理疗中心，开发森林浴、草原瑜伽、冥想静修等康养产品，结合中医养生理念提供个性化康养方案。</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bookmarkStart w:id="37" w:name="OLE_LINK37"/>
      <w:r>
        <w:rPr>
          <w:rFonts w:hint="eastAsia" w:ascii="宋体" w:hAnsi="宋体" w:cs="宋体"/>
          <w:b/>
          <w:sz w:val="28"/>
          <w:szCs w:val="28"/>
        </w:rPr>
        <w:t>（四）“文旅+体育”</w:t>
      </w:r>
    </w:p>
    <w:bookmarkEnd w:id="37"/>
    <w:p>
      <w:pPr>
        <w:adjustRightInd w:val="0"/>
        <w:snapToGrid w:val="0"/>
        <w:spacing w:before="120" w:beforeLines="50" w:after="120" w:afterLines="50" w:line="480" w:lineRule="atLeast"/>
        <w:ind w:firstLine="560" w:firstLineChars="200"/>
        <w:rPr>
          <w:rFonts w:hint="eastAsia"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以高质量户外运动目的地为引领，推动赛马、赛骆驼等传统体育项目开发旅游产品，促进文化、体育与旅游深度融合。重点打造且末（塔中）沙漠运动基地、博湖水上运动基地、和静冰雪运动与训练基地，构建“基地支撑、赛事引领、线路串联”的体育旅游发展格局。培育特色体育赛事IP，形成“一县一品”的赛事体系。办好中国环塔国际拉力赛、中国马术耐力达标赛、博斯腾湖帆船赛、环博斯腾湖自行车赛等自治区级、国家级品牌赛事，</w:t>
      </w:r>
      <w:r>
        <w:rPr>
          <w:rFonts w:hint="eastAsia" w:ascii="宋体" w:hAnsi="宋体" w:cs="宋体"/>
          <w:sz w:val="28"/>
          <w:szCs w:val="28"/>
        </w:rPr>
        <w:t>谋划“中国（巴州）塔克拉玛干沙漠越野赛”，联动环塔赛事，打造“沙漠越野赛”“环湖自行车赛”“尉犁县沙漠徒步赛”等特色赛事。强化“跟着赛事去旅行”文旅体育融合发展，开发“赛事+景区”套票，推出“运动+观光”产品与“户外运动研学之旅”。</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（五）“文旅+冰雪”</w:t>
      </w:r>
    </w:p>
    <w:p>
      <w:pPr>
        <w:adjustRightInd w:val="0"/>
        <w:snapToGrid w:val="0"/>
        <w:spacing w:before="120" w:beforeLines="50" w:after="120" w:afterLines="50" w:line="480" w:lineRule="atLeast"/>
        <w:ind w:firstLine="560" w:firstLineChars="200"/>
        <w:rPr>
          <w:rFonts w:hint="eastAsia" w:ascii="宋体" w:hAnsi="宋体" w:cs="宋体"/>
          <w:sz w:val="28"/>
          <w:szCs w:val="28"/>
        </w:rPr>
      </w:pPr>
      <w:bookmarkStart w:id="38" w:name="_Hlk214986273"/>
      <w:r>
        <w:rPr>
          <w:rFonts w:hint="eastAsia" w:ascii="宋体" w:hAnsi="宋体" w:cs="宋体"/>
          <w:sz w:val="28"/>
          <w:szCs w:val="28"/>
        </w:rPr>
        <w:t>立足巴州基础条件，合理布局冰雪运动、冰雪经济，形成特色鲜明、优势互补、区域协调的发展格局。重点在博湖县、和硕县、和静县、焉耆县、库尔勒市5县市发展冰雪经济。加强本土冰雪旅游企业培育，积极招引疆内外冰雪企业参与开发冰雪资源、建设运营冰雪场馆。统筹优化冰雪产业布局，完善顶层设计，建立健全前期论证工作机制，做好与自然保护地等各类总体规划的衔接。加强开展冰雪运动、发展冰雪经济的可行性、合规性、生态适配性等论证工作，因地制宜建设冰雪运动场地，满足各族群众参与冰雪运动需求。常态化开展大众冰雪活动，做强“巴州冰雪季”。支持博湖县、和硕县、和静县、焉耆县、库尔勒市5县市结合实际开展冰上徒步、雪地足球、冰上帆船、冰雪嘉年华等群众性冰雪活动，打造群众性冰雪活动品牌，推出群众性冰雪赛事活动，提升群众参与率。</w:t>
      </w:r>
      <w:bookmarkEnd w:id="38"/>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（六）“文旅+数字”</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推动文旅资源转化为文旅数字资产，进一步整合景区、线路、节事等信息资源，开发</w:t>
      </w:r>
      <w:r>
        <w:rPr>
          <w:rFonts w:ascii="宋体" w:hAnsi="宋体" w:cs="宋体"/>
          <w:sz w:val="28"/>
          <w:szCs w:val="28"/>
        </w:rPr>
        <w:t>VR/AR</w:t>
      </w:r>
      <w:r>
        <w:rPr>
          <w:rFonts w:hint="eastAsia" w:ascii="宋体" w:hAnsi="宋体" w:cs="宋体"/>
          <w:sz w:val="28"/>
          <w:szCs w:val="28"/>
        </w:rPr>
        <w:t>沉浸式体验板块，运用数字技术模拟楼兰故城、长城烽燧、《东归</w:t>
      </w:r>
      <w:r>
        <w:rPr>
          <w:rFonts w:hint="eastAsia" w:ascii="微软雅黑" w:hAnsi="微软雅黑" w:eastAsia="微软雅黑" w:cs="微软雅黑"/>
          <w:sz w:val="28"/>
          <w:szCs w:val="28"/>
        </w:rPr>
        <w:t>・</w:t>
      </w:r>
      <w:r>
        <w:rPr>
          <w:rFonts w:hint="eastAsia" w:ascii="宋体" w:hAnsi="宋体" w:cs="宋体"/>
          <w:sz w:val="28"/>
          <w:szCs w:val="28"/>
        </w:rPr>
        <w:t>印象》剧目场景等，打造可互动的数字文化体验空间。建设</w:t>
      </w:r>
      <w:r>
        <w:rPr>
          <w:rFonts w:ascii="宋体" w:hAnsi="宋体" w:cs="宋体"/>
          <w:sz w:val="28"/>
          <w:szCs w:val="28"/>
        </w:rPr>
        <w:t>“</w:t>
      </w:r>
      <w:r>
        <w:rPr>
          <w:rFonts w:hint="eastAsia" w:ascii="宋体" w:hAnsi="宋体" w:cs="宋体"/>
          <w:sz w:val="28"/>
          <w:szCs w:val="28"/>
        </w:rPr>
        <w:t>数字文创孵化基地”，吸引创意企业入驻，研发数字藏品、智能文创等产品，举办文创产品创意设计大赛，推动数字文创产业化发展。</w:t>
      </w:r>
    </w:p>
    <w:p>
      <w:pPr>
        <w:adjustRightInd w:val="0"/>
        <w:snapToGrid w:val="0"/>
        <w:spacing w:before="120" w:beforeLines="50" w:after="120" w:afterLines="50" w:line="500" w:lineRule="atLeast"/>
        <w:ind w:firstLine="562" w:firstLineChars="200"/>
        <w:outlineLvl w:val="2"/>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四、完善深度融合机制</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（一）加强政策集成</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统筹整合文化、旅游、农业、工业等领域政策资源，形成政策合力。统筹用好1000万元自治州文化旅游产业发展奖励专项资金，支持品牌创建、人才交流等领域。积极争取上级文旅发展专项资金和政府专项债券支持重大项目建设，推动优质文旅项目纳入债券支持范畴，鼓励金融机构开发“文旅贷”等专项信贷产品，增加中长期贷款投放，鼓励符合条件的文化旅游基础设施项目发行基础设施领域不动产投资信托基金（REITs）。落实税收优惠政策，对文旅融合企业实行增值税减免、所得税优惠等政策，对新获评的国家5A级旅游景区、国家级研学基地等给予一次性奖励。建立政策评估机制，每两年开展政策实施效果评估，根据评估结果动态调整优化政策内容，确保政策精准落地。</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（二）强化部门协同</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建立州级文旅发展联席会议制度，统筹文旅、发改、财政、农业、工信等部门，实行季度调度、年度考核的工作机制。制定跨部门权责清单，建立“一口受理、并联审批、限时办结”的项目审批机制，压缩文旅项目审批时限。搭建跨部门数据共享平台，整合旅游大数据、农业资源库、工业遗产名录等资源，实现客源分析、资源调度、应急处置等数据互通共用。开展“同心护旅”行动，建立文旅、公安、市场监管等多部门联合执法机制，每季度召开旅游服务质量调度会，及时处理游客投诉与行业乱象。</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（三）培育文旅人才</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构建“院校培养+企业实训+人才引进”的三维人才培育体系。支持本地高校、职业院校开设文旅融合相关专业，增设楼兰文化研究、研学导师、数字文旅等特色课程。实施“文旅人才提升计划”，每年组织景区管理人员、非遗传承人、民宿经营者等开展专题培训，邀请区内外专家开展授课，选派骨干人才赴先进地区挂职学习。</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（四）推动区域协调</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深化兵地融合发展，推动政策规划、标准规范协同实施，积极推广第二师与尉犁县联合打造“兵地融合创新型旅游示范区”的建设经验，努力建设“兵地融合创新型旅游示范景区”以及高等级旅游景区，共同开发精品线路</w:t>
      </w:r>
      <w:r>
        <w:rPr>
          <w:rFonts w:hint="eastAsia" w:ascii="宋体" w:hAnsi="宋体" w:cs="宋体"/>
          <w:sz w:val="28"/>
          <w:szCs w:val="28"/>
          <w:lang w:eastAsia="zh-CN"/>
        </w:rPr>
        <w:t>。</w:t>
      </w:r>
      <w:r>
        <w:rPr>
          <w:rFonts w:hint="eastAsia" w:ascii="宋体" w:hAnsi="宋体" w:cs="宋体"/>
          <w:sz w:val="28"/>
          <w:szCs w:val="28"/>
        </w:rPr>
        <w:t>加强区域联动合作，深度融入共建东疆旅游目的地，支持博斯腾湖景区建设东疆旅游核心支点，主动融入乌鲁木齐旅游圈，与吐鲁番、阿克苏等周边地州建立文旅联盟，整合丝路文化、生态资源，推出跨区域主题旅游线路，积极加入“东天山历史文化穿越之旅”跨区域精品线路，实现客源互送、品牌共建、市场共享。</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（五）创新文旅援疆</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立足铸牢中华民族共同</w:t>
      </w:r>
      <w:r>
        <w:rPr>
          <w:rFonts w:hint="eastAsia" w:ascii="宋体" w:hAnsi="宋体" w:cs="宋体"/>
          <w:sz w:val="28"/>
          <w:szCs w:val="28"/>
          <w:lang w:eastAsia="zh-CN"/>
        </w:rPr>
        <w:t>体</w:t>
      </w:r>
      <w:r>
        <w:rPr>
          <w:rFonts w:hint="eastAsia" w:ascii="宋体" w:hAnsi="宋体" w:cs="宋体"/>
          <w:sz w:val="28"/>
          <w:szCs w:val="28"/>
        </w:rPr>
        <w:t>意识主线工作，着力推动文旅援疆工作从传统的“资金注入、项目援建”向品牌共建、文化共融、市场化深度协作全面升级，重点抓好四大项目：“石榴籽（花）阳光青少年足球交流项目”“‘丝路情怀·融情之旅’援疆旅游专列促三交及‘出发吧！新疆’宣传推介项目”“优秀文化产品‘请进来、走出去’项目”“巴州文博润心共铸中华民族共同体意识文化工程项目”。</w:t>
      </w:r>
    </w:p>
    <w:p>
      <w:pPr>
        <w:adjustRightInd w:val="0"/>
        <w:snapToGrid w:val="0"/>
        <w:spacing w:before="240" w:beforeLines="100" w:after="240" w:afterLines="100" w:line="500" w:lineRule="atLeast"/>
        <w:jc w:val="center"/>
        <w:outlineLvl w:val="1"/>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第三节  产业集群与布局优化</w:t>
      </w:r>
    </w:p>
    <w:p>
      <w:pPr>
        <w:adjustRightInd w:val="0"/>
        <w:snapToGrid w:val="0"/>
        <w:spacing w:before="120" w:beforeLines="50" w:after="120" w:afterLines="50" w:line="500" w:lineRule="exact"/>
        <w:ind w:firstLine="562" w:firstLineChars="200"/>
        <w:outlineLvl w:val="2"/>
        <w:rPr>
          <w:rFonts w:hint="eastAsia" w:ascii="楷体_GB2312" w:hAnsi="宋体" w:eastAsia="楷体_GB2312" w:cs="宋体"/>
          <w:b/>
          <w:bCs/>
          <w:sz w:val="28"/>
          <w:szCs w:val="28"/>
        </w:rPr>
      </w:pPr>
      <w:r>
        <w:rPr>
          <w:rFonts w:hint="eastAsia" w:ascii="楷体_GB2312" w:hAnsi="黑体" w:eastAsia="楷体_GB2312" w:cs="宋体"/>
          <w:b/>
          <w:bCs/>
          <w:sz w:val="28"/>
          <w:szCs w:val="28"/>
        </w:rPr>
        <w:t>一、优化文旅产业布局</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综合巴州地理区位、交通格局、资源特色、市场潜力等产业发展要素，按照全域文旅产业协同与高质量发展的要求，推进区域间差异化、错位发展。深刻把握文化空间“普惠性、层级性、集中性、极点性”的特征，及旅游空间“极点性、集群性、网络性”的特点，围绕重大项目、发展定位与区域协同，聚焦文化旅游空间的叠加与客流导向，</w:t>
      </w:r>
      <w:bookmarkStart w:id="39" w:name="OLE_LINK72"/>
      <w:r>
        <w:rPr>
          <w:rFonts w:hint="eastAsia" w:ascii="宋体" w:hAnsi="宋体" w:cs="宋体"/>
          <w:sz w:val="28"/>
          <w:szCs w:val="28"/>
        </w:rPr>
        <w:t>构建“1235”的文旅产业新格局，即：一个中心、两个门户、三个组团、五个集群。</w:t>
      </w:r>
      <w:bookmarkEnd w:id="39"/>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bookmarkStart w:id="40" w:name="_Hlk212983744"/>
      <w:r>
        <w:rPr>
          <w:rFonts w:hint="eastAsia" w:ascii="宋体" w:hAnsi="宋体" w:cs="宋体"/>
          <w:b/>
          <w:sz w:val="28"/>
          <w:szCs w:val="28"/>
        </w:rPr>
        <w:t>（一）一个中心</w:t>
      </w:r>
    </w:p>
    <w:bookmarkEnd w:id="40"/>
    <w:p>
      <w:pPr>
        <w:adjustRightInd w:val="0"/>
        <w:snapToGrid w:val="0"/>
        <w:spacing w:before="120" w:beforeLines="50" w:after="120" w:afterLines="50" w:line="500" w:lineRule="exact"/>
        <w:ind w:firstLine="562" w:firstLineChars="200"/>
        <w:rPr>
          <w:rFonts w:hint="eastAsia" w:ascii="宋体" w:hAnsi="宋体" w:cs="宋体"/>
          <w:color w:val="000000" w:themeColor="text1"/>
          <w:sz w:val="28"/>
          <w:szCs w:val="28"/>
          <w14:textFill>
            <w14:solidFill>
              <w14:schemeClr w14:val="tx1"/>
            </w14:solidFill>
          </w14:textFill>
        </w:rPr>
      </w:pPr>
      <w:bookmarkStart w:id="41" w:name="OLE_LINK29"/>
      <w:r>
        <w:rPr>
          <w:rFonts w:hint="eastAsia" w:ascii="宋体" w:hAnsi="宋体" w:cs="宋体"/>
          <w:b/>
          <w:bCs/>
          <w:color w:val="000000" w:themeColor="text1"/>
          <w:sz w:val="28"/>
          <w:szCs w:val="28"/>
          <w14:textFill>
            <w14:solidFill>
              <w14:schemeClr w14:val="tx1"/>
            </w14:solidFill>
          </w14:textFill>
        </w:rPr>
        <w:t>库尔勒旅游集散中心。</w:t>
      </w:r>
      <w:bookmarkEnd w:id="41"/>
      <w:r>
        <w:rPr>
          <w:rFonts w:hint="eastAsia" w:ascii="宋体" w:hAnsi="宋体" w:cs="宋体"/>
          <w:color w:val="000000" w:themeColor="text1"/>
          <w:sz w:val="28"/>
          <w:szCs w:val="28"/>
          <w14:textFill>
            <w14:solidFill>
              <w14:schemeClr w14:val="tx1"/>
            </w14:solidFill>
          </w14:textFill>
        </w:rPr>
        <w:t>全面建设全州和南疆旅游集散中心，重点推进“过境游”向“过夜游”转变。提升城市的文化与休闲氛围、旅游公共服务，完善交通集散、综合服务、城市休闲、文化体验、商贸会展等功能。落实城市更新赋能文旅发展，推进城市特色风貌改造升级，植入传统老字号、文创商店、非遗体验等业态，提升城区文化氛围；发展文化演艺、文化创意、数字文化等产业，延长文化产业链条。</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（二）两个门户</w:t>
      </w:r>
    </w:p>
    <w:p>
      <w:pPr>
        <w:adjustRightInd w:val="0"/>
        <w:snapToGrid w:val="0"/>
        <w:spacing w:before="120" w:beforeLines="50" w:after="120" w:afterLines="50" w:line="480" w:lineRule="exact"/>
        <w:ind w:firstLine="562" w:firstLineChars="200"/>
        <w:rPr>
          <w:rFonts w:hint="eastAsia" w:ascii="宋体" w:hAnsi="宋体" w:cs="宋体"/>
          <w:sz w:val="28"/>
          <w:szCs w:val="28"/>
        </w:rPr>
      </w:pPr>
      <w:r>
        <w:rPr>
          <w:rFonts w:hint="eastAsia" w:ascii="宋体" w:hAnsi="宋体" w:cs="宋体"/>
          <w:b/>
          <w:bCs/>
          <w:sz w:val="28"/>
          <w:szCs w:val="28"/>
        </w:rPr>
        <w:t>东疆旅游门户。</w:t>
      </w:r>
      <w:r>
        <w:rPr>
          <w:rFonts w:hint="eastAsia" w:ascii="宋体" w:hAnsi="宋体" w:cs="宋体"/>
          <w:sz w:val="28"/>
          <w:szCs w:val="28"/>
        </w:rPr>
        <w:t>加强与吐鲁番、哈密、昌吉东三县协作，重点依托博斯腾湖、大海道景区，通过西和高速、阿若高速（规划中）建设东联甘肃、青海旅游门户，通过吐和高速、S12东联河西走廊旅游门户，在合适地点建设“巴州·东疆旅游门户标志”。</w:t>
      </w:r>
    </w:p>
    <w:p>
      <w:pPr>
        <w:adjustRightInd w:val="0"/>
        <w:snapToGrid w:val="0"/>
        <w:spacing w:before="120" w:beforeLines="50" w:after="120" w:afterLines="50" w:line="480" w:lineRule="exact"/>
        <w:ind w:firstLine="562" w:firstLineChars="200"/>
        <w:rPr>
          <w:rFonts w:hint="eastAsia" w:ascii="宋体" w:hAnsi="宋体" w:cs="宋体"/>
          <w:sz w:val="28"/>
          <w:szCs w:val="28"/>
        </w:rPr>
      </w:pPr>
      <w:r>
        <w:rPr>
          <w:rFonts w:hint="eastAsia" w:ascii="宋体" w:hAnsi="宋体" w:cs="宋体"/>
          <w:b/>
          <w:bCs/>
          <w:sz w:val="28"/>
          <w:szCs w:val="28"/>
        </w:rPr>
        <w:t>南疆旅游门户</w:t>
      </w:r>
      <w:r>
        <w:rPr>
          <w:rFonts w:hint="eastAsia" w:ascii="宋体" w:hAnsi="宋体" w:cs="宋体"/>
          <w:sz w:val="28"/>
          <w:szCs w:val="28"/>
        </w:rPr>
        <w:t>。以且末、若羌为基地，通过西和高速，建设经G216南联西藏、经青海格尔木G109南联西藏的南疆旅游门户，在合适地点建设“巴州·南疆旅游门户标志”。</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（三）三个组团</w:t>
      </w:r>
    </w:p>
    <w:p>
      <w:pPr>
        <w:adjustRightInd w:val="0"/>
        <w:snapToGrid w:val="0"/>
        <w:spacing w:before="120" w:beforeLines="50" w:after="120" w:afterLines="50" w:line="480" w:lineRule="exact"/>
        <w:ind w:firstLine="561"/>
        <w:rPr>
          <w:rFonts w:hint="eastAsia" w:ascii="宋体" w:hAnsi="宋体" w:cs="宋体"/>
          <w:sz w:val="28"/>
          <w:szCs w:val="28"/>
        </w:rPr>
      </w:pPr>
      <w:r>
        <w:rPr>
          <w:rFonts w:hint="eastAsia" w:ascii="宋体" w:hAnsi="宋体" w:cs="宋体"/>
          <w:b/>
          <w:bCs/>
          <w:sz w:val="28"/>
          <w:szCs w:val="28"/>
        </w:rPr>
        <w:t>巴音布鲁克、巩乃斯景区组团。</w:t>
      </w:r>
      <w:r>
        <w:rPr>
          <w:rFonts w:hint="eastAsia" w:ascii="宋体" w:hAnsi="宋体" w:cs="宋体"/>
          <w:sz w:val="28"/>
          <w:szCs w:val="28"/>
        </w:rPr>
        <w:t>重点打造精品景区，形成品牌效应。重点推进巴音布鲁克景区提升、巩乃斯景区提升，丰富文化体验、生态康养、休闲度假等业态，加快冰雪（山地）运动四季业态发展，形成巴州文旅核心目的地。</w:t>
      </w:r>
    </w:p>
    <w:p>
      <w:pPr>
        <w:adjustRightInd w:val="0"/>
        <w:snapToGrid w:val="0"/>
        <w:spacing w:before="120" w:beforeLines="50" w:after="120" w:afterLines="50" w:line="480" w:lineRule="exact"/>
        <w:ind w:firstLine="561"/>
        <w:rPr>
          <w:rFonts w:hint="eastAsia" w:ascii="宋体" w:hAnsi="宋体" w:cs="宋体"/>
          <w:sz w:val="28"/>
          <w:szCs w:val="28"/>
        </w:rPr>
      </w:pPr>
      <w:r>
        <w:rPr>
          <w:rFonts w:hint="eastAsia" w:ascii="宋体" w:hAnsi="宋体" w:cs="宋体"/>
          <w:b/>
          <w:bCs/>
          <w:sz w:val="28"/>
          <w:szCs w:val="28"/>
        </w:rPr>
        <w:t>博斯腾湖景区、北四县及库尔勒市部分区域景区组团。</w:t>
      </w:r>
      <w:r>
        <w:rPr>
          <w:rFonts w:hint="eastAsia" w:ascii="宋体" w:hAnsi="宋体" w:cs="宋体"/>
          <w:sz w:val="28"/>
          <w:szCs w:val="28"/>
        </w:rPr>
        <w:t>重点发挥5A级景区辐射带动能力，以博斯腾湖景区为核心，加强水上运动、滨水度假业态发展，推进马兰红山军博园创建国家5A级旅游景区，打造金沙滩国家级旅游度假区、焉耆盆地葡萄酒观光产业园，形成集东归文化体验、乡村生态休闲、水上运动、草原与滨水度假于一体的北部旅游目的地。</w:t>
      </w:r>
    </w:p>
    <w:p>
      <w:pPr>
        <w:adjustRightInd w:val="0"/>
        <w:snapToGrid w:val="0"/>
        <w:spacing w:before="120" w:beforeLines="50" w:after="120" w:afterLines="50" w:line="480" w:lineRule="exact"/>
        <w:ind w:firstLine="561"/>
        <w:rPr>
          <w:rFonts w:hint="eastAsia" w:ascii="宋体" w:hAnsi="宋体" w:cs="宋体"/>
          <w:sz w:val="28"/>
          <w:szCs w:val="28"/>
        </w:rPr>
      </w:pPr>
      <w:r>
        <w:rPr>
          <w:rFonts w:hint="eastAsia" w:ascii="宋体" w:hAnsi="宋体" w:cs="宋体"/>
          <w:b/>
          <w:bCs/>
          <w:sz w:val="28"/>
          <w:szCs w:val="28"/>
        </w:rPr>
        <w:t>轮台、尉犁、且末、若羌组团。</w:t>
      </w:r>
      <w:r>
        <w:rPr>
          <w:rFonts w:hint="eastAsia" w:ascii="宋体" w:hAnsi="宋体" w:cs="宋体"/>
          <w:sz w:val="28"/>
          <w:szCs w:val="28"/>
        </w:rPr>
        <w:t>依托交通优势，推动形成区域旅游联动发展板块。重点推进卓尔库特古城考古遗址公园建设、塔里木胡杨林公园提升、塔中沙漠特种旅游基地建设；谋划阿尔金山特种旅游体验区、昆仑山国家公园建设，打造集西域都护历史文化体验、楼兰文化研学、沙漠与高原特种旅游于一体南部旅游目的地。</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bookmarkStart w:id="42" w:name="OLE_LINK34"/>
      <w:r>
        <w:rPr>
          <w:rFonts w:hint="eastAsia" w:ascii="宋体" w:hAnsi="宋体" w:cs="宋体"/>
          <w:b/>
          <w:sz w:val="28"/>
          <w:szCs w:val="28"/>
        </w:rPr>
        <w:t>（四）五个集群</w:t>
      </w:r>
    </w:p>
    <w:bookmarkEnd w:id="42"/>
    <w:p>
      <w:pPr>
        <w:adjustRightInd w:val="0"/>
        <w:snapToGrid w:val="0"/>
        <w:spacing w:before="120" w:beforeLines="50" w:after="120" w:afterLines="50" w:line="500" w:lineRule="exact"/>
        <w:ind w:firstLine="562" w:firstLineChars="200"/>
        <w:rPr>
          <w:rFonts w:hint="eastAsia" w:ascii="宋体" w:hAnsi="宋体" w:cs="宋体"/>
          <w:sz w:val="28"/>
          <w:szCs w:val="28"/>
        </w:rPr>
      </w:pPr>
      <w:r>
        <w:rPr>
          <w:rFonts w:hint="eastAsia" w:ascii="宋体" w:hAnsi="宋体" w:cs="宋体"/>
          <w:b/>
          <w:bCs/>
          <w:sz w:val="28"/>
          <w:szCs w:val="28"/>
        </w:rPr>
        <w:t>天山之心——高山文旅产业集群。</w:t>
      </w:r>
      <w:r>
        <w:rPr>
          <w:rFonts w:hint="eastAsia" w:ascii="宋体" w:hAnsi="宋体" w:cs="宋体"/>
          <w:sz w:val="28"/>
          <w:szCs w:val="28"/>
        </w:rPr>
        <w:t>依托巴音布鲁克草原、巩乃斯河谷，重点发展冰雪运动、草原度假、生态观光、马文化体验，构建“夏游草原、冬玩冰雪”全季业态。</w:t>
      </w:r>
    </w:p>
    <w:p>
      <w:pPr>
        <w:adjustRightInd w:val="0"/>
        <w:snapToGrid w:val="0"/>
        <w:spacing w:before="120" w:beforeLines="50" w:after="120" w:afterLines="50" w:line="500" w:lineRule="exact"/>
        <w:ind w:firstLine="562" w:firstLineChars="200"/>
        <w:rPr>
          <w:rFonts w:hint="eastAsia" w:ascii="宋体" w:hAnsi="宋体" w:cs="宋体"/>
          <w:sz w:val="28"/>
          <w:szCs w:val="28"/>
        </w:rPr>
      </w:pPr>
      <w:r>
        <w:rPr>
          <w:rFonts w:hint="eastAsia" w:ascii="宋体" w:hAnsi="宋体" w:cs="宋体"/>
          <w:b/>
          <w:bCs/>
          <w:sz w:val="28"/>
          <w:szCs w:val="28"/>
        </w:rPr>
        <w:t>中国西海——湖泊文旅产业集群。</w:t>
      </w:r>
      <w:r>
        <w:rPr>
          <w:rFonts w:hint="eastAsia" w:ascii="宋体" w:hAnsi="宋体" w:cs="宋体"/>
          <w:sz w:val="28"/>
          <w:szCs w:val="28"/>
        </w:rPr>
        <w:t>围绕博斯腾湖、和硕金沙滩、焉耆相思湖，发展湖泊观光、水上运动、低空旅游、环湖沙漠探险、渔文化体验、湖泊康养，打造“环博斯腾湖旅游圈”。</w:t>
      </w:r>
    </w:p>
    <w:p>
      <w:pPr>
        <w:adjustRightInd w:val="0"/>
        <w:snapToGrid w:val="0"/>
        <w:spacing w:before="120" w:beforeLines="50" w:after="120" w:afterLines="50" w:line="500" w:lineRule="exact"/>
        <w:ind w:firstLine="562" w:firstLineChars="200"/>
        <w:rPr>
          <w:rFonts w:hint="eastAsia" w:ascii="宋体" w:hAnsi="宋体" w:cs="宋体"/>
          <w:sz w:val="28"/>
          <w:szCs w:val="28"/>
        </w:rPr>
      </w:pPr>
      <w:r>
        <w:rPr>
          <w:rFonts w:hint="eastAsia" w:ascii="宋体" w:hAnsi="宋体" w:cs="宋体"/>
          <w:b/>
          <w:bCs/>
          <w:sz w:val="28"/>
          <w:szCs w:val="28"/>
        </w:rPr>
        <w:t>楼兰流沙——沙漠文旅产业集群。</w:t>
      </w:r>
      <w:r>
        <w:rPr>
          <w:rFonts w:hint="eastAsia" w:ascii="宋体" w:hAnsi="宋体" w:cs="宋体"/>
          <w:sz w:val="28"/>
          <w:szCs w:val="28"/>
        </w:rPr>
        <w:t>聚焦塔克拉玛干沙漠，发展沙漠运动、石油文化、历史遗存活化、星空旅游，培育“沙漠探险”特色品牌。</w:t>
      </w:r>
    </w:p>
    <w:p>
      <w:pPr>
        <w:adjustRightInd w:val="0"/>
        <w:snapToGrid w:val="0"/>
        <w:spacing w:before="120" w:beforeLines="50" w:after="120" w:afterLines="50" w:line="500" w:lineRule="exact"/>
        <w:ind w:firstLine="562" w:firstLineChars="200"/>
        <w:rPr>
          <w:rFonts w:hint="eastAsia" w:ascii="宋体" w:hAnsi="宋体" w:cs="宋体"/>
          <w:sz w:val="28"/>
          <w:szCs w:val="28"/>
        </w:rPr>
      </w:pPr>
      <w:r>
        <w:rPr>
          <w:rFonts w:hint="eastAsia" w:ascii="宋体" w:hAnsi="宋体" w:cs="宋体"/>
          <w:b/>
          <w:bCs/>
          <w:sz w:val="28"/>
          <w:szCs w:val="28"/>
        </w:rPr>
        <w:t>昆仑金山——高原文旅产业集群。</w:t>
      </w:r>
      <w:r>
        <w:rPr>
          <w:rFonts w:hint="eastAsia" w:ascii="宋体" w:hAnsi="宋体" w:cs="宋体"/>
          <w:sz w:val="28"/>
          <w:szCs w:val="28"/>
        </w:rPr>
        <w:t>依托昆仑山、阿尔金山，发展玉石产业、特种旅游、高原生态研学，打造“昆仑文化+生态探险”目的地。</w:t>
      </w:r>
    </w:p>
    <w:p>
      <w:pPr>
        <w:adjustRightInd w:val="0"/>
        <w:snapToGrid w:val="0"/>
        <w:spacing w:before="120" w:beforeLines="50" w:after="120" w:afterLines="50" w:line="500" w:lineRule="exact"/>
        <w:ind w:firstLine="562" w:firstLineChars="200"/>
        <w:rPr>
          <w:rFonts w:hint="eastAsia" w:ascii="宋体" w:hAnsi="宋体" w:cs="宋体"/>
          <w:sz w:val="28"/>
          <w:szCs w:val="28"/>
        </w:rPr>
      </w:pPr>
      <w:r>
        <w:rPr>
          <w:rFonts w:hint="eastAsia" w:ascii="宋体" w:hAnsi="宋体" w:cs="宋体"/>
          <w:b/>
          <w:bCs/>
          <w:sz w:val="28"/>
          <w:szCs w:val="28"/>
        </w:rPr>
        <w:t>西域之光——历史文旅产业集群。</w:t>
      </w:r>
      <w:r>
        <w:rPr>
          <w:rFonts w:hint="eastAsia" w:ascii="宋体" w:hAnsi="宋体" w:cs="宋体"/>
          <w:sz w:val="28"/>
          <w:szCs w:val="28"/>
        </w:rPr>
        <w:t>聚焦轮台西域都护府遗址群、长城烽燧群、焉耆七个星佛寺等，发展考古研学、文化演艺、文化贸易、非遗传承，建设西域历史文化展示带。</w:t>
      </w:r>
    </w:p>
    <w:p>
      <w:pPr>
        <w:adjustRightInd w:val="0"/>
        <w:snapToGrid w:val="0"/>
        <w:spacing w:before="120" w:beforeLines="50" w:after="120" w:afterLines="50" w:line="500" w:lineRule="exact"/>
        <w:ind w:firstLine="562" w:firstLineChars="200"/>
        <w:outlineLvl w:val="2"/>
        <w:rPr>
          <w:rFonts w:hint="eastAsia" w:ascii="楷体_GB2312" w:hAnsi="黑体" w:eastAsia="楷体_GB2312" w:cs="宋体"/>
          <w:b/>
          <w:bCs/>
          <w:sz w:val="28"/>
          <w:szCs w:val="28"/>
        </w:rPr>
      </w:pPr>
      <w:bookmarkStart w:id="43" w:name="OLE_LINK73"/>
      <w:r>
        <w:rPr>
          <w:rFonts w:hint="eastAsia" w:ascii="楷体_GB2312" w:hAnsi="黑体" w:eastAsia="楷体_GB2312" w:cs="宋体"/>
          <w:b/>
          <w:bCs/>
          <w:sz w:val="28"/>
          <w:szCs w:val="28"/>
        </w:rPr>
        <w:t>二、建设文旅产业集群</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（一）做活巴州南疆“棋眼”</w:t>
      </w:r>
    </w:p>
    <w:p>
      <w:pPr>
        <w:adjustRightInd w:val="0"/>
        <w:snapToGrid w:val="0"/>
        <w:spacing w:before="120" w:beforeLines="50" w:after="120" w:afterLines="50" w:line="500" w:lineRule="exact"/>
        <w:ind w:firstLine="560" w:firstLineChars="200"/>
        <w:rPr>
          <w:rFonts w:hint="eastAsia" w:ascii="宋体" w:hAnsi="宋体" w:cs="宋体"/>
          <w:sz w:val="28"/>
          <w:szCs w:val="28"/>
        </w:rPr>
      </w:pPr>
      <w:r>
        <w:rPr>
          <w:rFonts w:hint="eastAsia" w:ascii="宋体" w:hAnsi="宋体" w:cs="宋体"/>
          <w:sz w:val="28"/>
          <w:szCs w:val="28"/>
        </w:rPr>
        <w:t>着力把巴州建设成为南疆丝绸之路文化旅游目的地重要支点，重点做活做强“两带一心两区”，融入南疆文旅全新格局。构建天山南麓旅游带巴州核心段，推进库尔勒、尉犁、轮台紧密串联，深入挖掘历代中央政权有效治理，强化历史文脉传承与旅游融合发展。</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（二）统筹“五个集群”发展</w:t>
      </w:r>
    </w:p>
    <w:p>
      <w:pPr>
        <w:adjustRightInd w:val="0"/>
        <w:snapToGrid w:val="0"/>
        <w:spacing w:before="120" w:beforeLines="50" w:after="120" w:afterLines="50" w:line="500" w:lineRule="exact"/>
        <w:ind w:firstLine="560" w:firstLineChars="200"/>
        <w:rPr>
          <w:rFonts w:hint="eastAsia" w:ascii="宋体" w:hAnsi="宋体" w:cs="宋体"/>
          <w:sz w:val="28"/>
          <w:szCs w:val="28"/>
        </w:rPr>
      </w:pPr>
      <w:r>
        <w:rPr>
          <w:rFonts w:hint="eastAsia" w:ascii="宋体" w:hAnsi="宋体" w:cs="宋体"/>
          <w:sz w:val="28"/>
          <w:szCs w:val="28"/>
        </w:rPr>
        <w:t>主动融入环乌鲁木齐市三小时旅游圈和周末旅游圈建设，以库尔勒市为巴州文旅产业集群核心，串联天山、博斯腾湖、塔克拉玛干沙漠、昆仑山阿尔金山、西域历史文化五个产业集群。坚持全域统筹、差异发展，通过资源整合、业态创新、品牌塑造，强化核心引领、五心支撑、全域联动，推动文旅产业与生态、文化、体育、农业深度融合，</w:t>
      </w:r>
      <w:bookmarkStart w:id="44" w:name="OLE_LINK10"/>
      <w:r>
        <w:rPr>
          <w:rFonts w:hint="eastAsia" w:ascii="宋体" w:hAnsi="宋体" w:cs="宋体"/>
          <w:sz w:val="28"/>
          <w:szCs w:val="28"/>
        </w:rPr>
        <w:t>打造南疆文旅高地、东疆旅游门户、丝绸之路旅游重要节点。</w:t>
      </w:r>
    </w:p>
    <w:bookmarkEnd w:id="43"/>
    <w:bookmarkEnd w:id="44"/>
    <w:p>
      <w:pPr>
        <w:adjustRightInd w:val="0"/>
        <w:snapToGrid w:val="0"/>
        <w:spacing w:before="240" w:beforeLines="100" w:after="240" w:afterLines="100" w:line="500" w:lineRule="atLeast"/>
        <w:jc w:val="center"/>
        <w:outlineLvl w:val="1"/>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第四节  全面提振文化旅游消费</w:t>
      </w:r>
    </w:p>
    <w:p>
      <w:pPr>
        <w:adjustRightInd w:val="0"/>
        <w:snapToGrid w:val="0"/>
        <w:spacing w:before="120" w:beforeLines="50" w:after="120" w:afterLines="50" w:line="480" w:lineRule="atLeast"/>
        <w:ind w:firstLine="560" w:firstLineChars="200"/>
        <w:rPr>
          <w:rFonts w:hint="eastAsia"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坚持以扩大内需为战略基点，聚焦文旅深度融合与服务品质提升，着力培育消费新场景、新业态、新品牌，建设文旅消费新高地。</w:t>
      </w:r>
    </w:p>
    <w:p>
      <w:pPr>
        <w:adjustRightInd w:val="0"/>
        <w:snapToGrid w:val="0"/>
        <w:spacing w:before="120" w:beforeLines="50" w:after="120" w:afterLines="50" w:line="500" w:lineRule="atLeast"/>
        <w:ind w:firstLine="562" w:firstLineChars="200"/>
        <w:outlineLvl w:val="2"/>
        <w:rPr>
          <w:rFonts w:hint="eastAsia" w:ascii="楷体_GB2312" w:hAnsi="黑体" w:eastAsia="楷体_GB2312" w:cs="宋体"/>
          <w:b/>
          <w:bCs/>
          <w:sz w:val="28"/>
          <w:szCs w:val="28"/>
        </w:rPr>
      </w:pPr>
      <w:bookmarkStart w:id="45" w:name="_Hlk212735506"/>
      <w:r>
        <w:rPr>
          <w:rFonts w:hint="eastAsia" w:ascii="楷体_GB2312" w:hAnsi="黑体" w:eastAsia="楷体_GB2312" w:cs="宋体"/>
          <w:b/>
          <w:bCs/>
          <w:sz w:val="28"/>
          <w:szCs w:val="28"/>
        </w:rPr>
        <w:t>一、构建多层文旅消费体系</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（一）建设城镇文旅消费中心</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推动形成以库尔勒核心城区为引领、县域节点为支撑的多层级消费网络，培育库尔勒市为</w:t>
      </w:r>
      <w:r>
        <w:rPr>
          <w:rFonts w:hint="eastAsia" w:ascii="宋体" w:hAnsi="宋体" w:cs="宋体"/>
          <w:color w:val="000000"/>
          <w:spacing w:val="-6"/>
          <w:kern w:val="0"/>
          <w:sz w:val="28"/>
          <w:szCs w:val="28"/>
        </w:rPr>
        <w:t>区域性文化和旅游消费中心城市，</w:t>
      </w:r>
      <w:r>
        <w:rPr>
          <w:rFonts w:hint="eastAsia" w:ascii="宋体" w:hAnsi="宋体" w:cs="宋体"/>
          <w:sz w:val="28"/>
          <w:szCs w:val="28"/>
        </w:rPr>
        <w:t>推动库尔勒梨城美食街、博湖县开都河景区步行街申报自治区级旅游休闲街区。协同城市更新行动，推动老旧街巷、滨水空间转型升级，打造一批集沉浸演艺、民族美食、文创体验、休闲购物于一体的旅游休闲街区，配套完善停车、导览、休闲等公共服务设施，构建“街区即场景、街巷即消费”的体验空间。</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（二）推动县域消费提质扩面</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实施“县域消费能级提升计划”，推动农旅、牧旅、工旅融合发展，拓展城乡双向消费通道。以库尔勒为中心，焉耆、博湖、和硕、和静、尉犁为延展区，构建“1小时文旅休闲圈”。依托香梨、红枣、乳业、畜牧等优势产业，建设农旅融合示范区和特色消费中心，推动农产品“产地体验+品牌销售”一体化。完善冷链物流、电商配送、夜市经济体系，鼓励县域开展周末集市、节庆消费活动。</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（三）激活文化地标消费功能</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实施“文化地标再生计划”，推动博物馆、剧院、公园等文旅游设施，转型为复合型文旅消费场所，延展开放时间与服务半径。推行“展演互动+体验消费”模式，嵌入餐饮、文创、阅读等业态，使文化地标成为市民休闲与游客体验的重要消费节点。</w:t>
      </w:r>
    </w:p>
    <w:p>
      <w:pPr>
        <w:adjustRightInd w:val="0"/>
        <w:snapToGrid w:val="0"/>
        <w:spacing w:before="120" w:beforeLines="50" w:after="120" w:afterLines="50" w:line="500" w:lineRule="atLeast"/>
        <w:ind w:firstLine="562" w:firstLineChars="200"/>
        <w:outlineLvl w:val="2"/>
        <w:rPr>
          <w:rFonts w:hint="eastAsia" w:ascii="楷体_GB2312" w:hAnsi="黑体" w:eastAsia="楷体_GB2312" w:cs="宋体"/>
          <w:b/>
          <w:bCs/>
          <w:sz w:val="28"/>
          <w:szCs w:val="28"/>
        </w:rPr>
      </w:pPr>
      <w:bookmarkStart w:id="46" w:name="_Hlk212735551"/>
      <w:r>
        <w:rPr>
          <w:rFonts w:hint="eastAsia" w:ascii="楷体_GB2312" w:hAnsi="黑体" w:eastAsia="楷体_GB2312" w:cs="宋体"/>
          <w:b/>
          <w:bCs/>
          <w:sz w:val="28"/>
          <w:szCs w:val="28"/>
        </w:rPr>
        <w:t>二、深化文旅消费提振工程</w:t>
      </w:r>
      <w:bookmarkEnd w:id="46"/>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（一）培育多元消费场景</w:t>
      </w:r>
    </w:p>
    <w:p>
      <w:pPr>
        <w:adjustRightInd w:val="0"/>
        <w:snapToGrid w:val="0"/>
        <w:spacing w:before="120" w:beforeLines="50" w:after="120" w:afterLines="50" w:line="500" w:lineRule="exact"/>
        <w:ind w:firstLine="560" w:firstLineChars="200"/>
        <w:rPr>
          <w:rFonts w:hint="eastAsia" w:ascii="宋体" w:hAnsi="宋体" w:cs="宋体"/>
          <w:sz w:val="28"/>
          <w:szCs w:val="28"/>
        </w:rPr>
      </w:pPr>
      <w:r>
        <w:rPr>
          <w:rFonts w:hint="eastAsia" w:ascii="宋体" w:hAnsi="宋体" w:cs="宋体"/>
          <w:sz w:val="28"/>
          <w:szCs w:val="28"/>
        </w:rPr>
        <w:t>通过“科技赋能+场景打造+业态融合”，打造场景化、互动式、沉浸式文旅体验项目，推动消费向体验化、参与化升级，让沉浸式体验成为彰显巴州文旅特色、吸引游客的核心亮点。稳妥推进博湖博斯腾湖、和静巴音布鲁克、尉犁罗布湖、轮台塔里木胡杨林公园、尉犁罗布人村寨等景区发展低空旅游，谋划塔里木胡杨林——罗布人村寨——尉犁罗布湖等通用航空旅游线路。</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（二）推动文化赋能消费</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以旅游演艺激活文旅消费潜能，打造以楼兰、东归、军垦、马兰等文化为主题的文艺演艺体系。推动演艺与多元业态深度融合，发展“演艺+研学”“演艺+美食”“演艺+文创”复合业态，形成以文艺创作为核心的消费生态链。搭建线上演艺传播平台，开展“直播剧场+线下体验”联动，扩大消费辐射范围，推动文化艺术成为文旅消费的新动能。</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（三）促进文创数字消费</w:t>
      </w:r>
    </w:p>
    <w:p>
      <w:pPr>
        <w:adjustRightInd w:val="0"/>
        <w:snapToGrid w:val="0"/>
        <w:spacing w:before="120" w:beforeLines="50" w:after="120" w:afterLines="50" w:line="480" w:lineRule="exact"/>
        <w:ind w:firstLine="560" w:firstLineChars="200"/>
        <w:rPr>
          <w:rFonts w:hint="eastAsia" w:ascii="宋体" w:hAnsi="宋体" w:cs="宋体"/>
          <w:sz w:val="28"/>
          <w:szCs w:val="28"/>
        </w:rPr>
      </w:pPr>
      <w:r>
        <w:rPr>
          <w:rFonts w:hint="eastAsia" w:ascii="宋体" w:hAnsi="宋体" w:cs="宋体"/>
          <w:sz w:val="28"/>
          <w:szCs w:val="28"/>
        </w:rPr>
        <w:t>以文化IP数字化赋能消费升级，构建“内容创作+数字传播+实体转化”全链条体系。打造“数字楼兰”“云上塔河”“博斯腾湖元宇宙体验区”等线上文旅IP，实现景区数字孪生与虚拟导览；孵化“楼兰公主”“东归勇士”“江格尔”等虚拟偶像，开发短视频、互动漫画及手游皮肤，通过抖音、微信定向推送。</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（四）激发文旅夜间消费</w:t>
      </w:r>
    </w:p>
    <w:p>
      <w:pPr>
        <w:adjustRightInd w:val="0"/>
        <w:snapToGrid w:val="0"/>
        <w:spacing w:before="120" w:beforeLines="50" w:after="120" w:afterLines="50" w:line="500" w:lineRule="exact"/>
        <w:ind w:firstLine="560" w:firstLineChars="200"/>
        <w:rPr>
          <w:rFonts w:hint="eastAsia" w:ascii="宋体" w:hAnsi="宋体" w:cs="宋体"/>
          <w:sz w:val="28"/>
          <w:szCs w:val="28"/>
        </w:rPr>
      </w:pPr>
      <w:r>
        <w:rPr>
          <w:rFonts w:hint="eastAsia" w:ascii="宋体" w:hAnsi="宋体" w:cs="宋体"/>
          <w:sz w:val="28"/>
          <w:szCs w:val="28"/>
        </w:rPr>
        <w:t>大力发展夜间经济，打造“夜巴州”消费品牌。以库尔勒、和静、博湖、尉犁等县市城区及巴音布鲁克等重点乡镇为重点，打造一批夜间文化和旅游消费集聚区。延长景区、影剧院、文化文博体育场馆开放时间，增加夜间演艺、音乐节、灯光秀等活动供给，推动夜间消费。完善灯光系统、导览系统、安全巡查体系，推动“夜景+夜食+夜演+夜宿”全链融合，形成集休闲、购物、娱乐、体验于一体的夜间文旅新格局。</w:t>
      </w:r>
    </w:p>
    <w:p>
      <w:pPr>
        <w:adjustRightInd w:val="0"/>
        <w:snapToGrid w:val="0"/>
        <w:spacing w:before="120" w:beforeLines="50" w:after="120" w:afterLines="50" w:line="500" w:lineRule="atLeast"/>
        <w:ind w:firstLine="562" w:firstLineChars="200"/>
        <w:outlineLvl w:val="2"/>
        <w:rPr>
          <w:rFonts w:hint="eastAsia" w:ascii="楷体_GB2312" w:hAnsi="黑体" w:eastAsia="楷体_GB2312" w:cs="宋体"/>
          <w:b/>
          <w:bCs/>
          <w:sz w:val="28"/>
          <w:szCs w:val="28"/>
        </w:rPr>
      </w:pPr>
      <w:r>
        <w:rPr>
          <w:rFonts w:hint="eastAsia" w:ascii="楷体_GB2312" w:hAnsi="黑体" w:eastAsia="楷体_GB2312" w:cs="宋体"/>
          <w:b/>
          <w:bCs/>
          <w:sz w:val="28"/>
          <w:szCs w:val="28"/>
        </w:rPr>
        <w:t>三、优化文旅消费市场环境</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（一）健全消费促进机制</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完善促进文旅消费体制机制，加强财税、金融、投资等政策协同。协调各方资金，支持重点消费文旅项目、夜间经济集聚区、数字文旅平台等建设。开发旅游消费信贷产品，提供分期付款等服务。制定旅游消费促进政策，开展旅游惠民活动，发放景区折扣券、电子消费券、节庆购物券、文化演出补贴，推出景区联票、季节折扣等优惠措施。用好《自治州促进文化旅游产业发展奖励支持办法》，落实“引客入州”等促销奖励政策，鼓励各县市推出惠民措施让利游客活动，助力活跃巴州旅游市场。</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（二）提升文旅服务水平</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以标准化助文旅服务质量提升，推动景区、酒店、民宿、餐饮、演艺等服务规范化。完善质量评价与信用体系。鼓励企业发展个性化定制服务。推行旅游服务承诺制度，提升服务透明度。建立旅游投诉快速处理平台，及时解决消费纠纷。强化服务人员培训，推广文明旅游、智慧导览、应急救援标准化管理。推进无障碍旅游区建设，消除景区政策壁垒、市场障碍、交通障碍和服务障碍。通过标准引领与个性创新并重，构建兼具品质保障与情感体验的服务体系，持续提升游客满意度与消费信心。</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（三）落实文旅假日制度</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积极落实带薪休假制度，鼓励错峰出行与弹性休假。推动机关单位、企业实施“周末+半天游”“假期+研学游”等弹性休假模式。引导企业根据生产经营特点推行轮休调休，建立错峰休假激励机制。配套休假文旅激励措施，通过智慧平台推送“休假专属套餐”。</w:t>
      </w:r>
      <w:bookmarkEnd w:id="45"/>
    </w:p>
    <w:p>
      <w:pPr>
        <w:adjustRightInd w:val="0"/>
        <w:snapToGrid w:val="0"/>
        <w:spacing w:before="240" w:beforeLines="100" w:after="240" w:afterLines="100" w:line="500" w:lineRule="atLeast"/>
        <w:jc w:val="center"/>
        <w:outlineLvl w:val="1"/>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第五节  讲好巴州文化旅游故事</w:t>
      </w:r>
    </w:p>
    <w:bookmarkEnd w:id="25"/>
    <w:p>
      <w:pPr>
        <w:adjustRightInd w:val="0"/>
        <w:snapToGrid w:val="0"/>
        <w:spacing w:before="120" w:beforeLines="50" w:after="120" w:afterLines="50" w:line="500" w:lineRule="atLeast"/>
        <w:ind w:firstLine="562" w:firstLineChars="200"/>
        <w:outlineLvl w:val="2"/>
        <w:rPr>
          <w:rFonts w:hint="eastAsia" w:ascii="楷体_GB2312" w:hAnsi="宋体" w:eastAsia="楷体_GB2312" w:cs="宋体"/>
          <w:b/>
          <w:bCs/>
          <w:sz w:val="28"/>
          <w:szCs w:val="28"/>
        </w:rPr>
      </w:pPr>
      <w:r>
        <w:rPr>
          <w:rFonts w:hint="eastAsia" w:ascii="楷体_GB2312" w:hAnsi="黑体" w:eastAsia="楷体_GB2312" w:cs="宋体"/>
          <w:b/>
          <w:bCs/>
          <w:sz w:val="28"/>
          <w:szCs w:val="28"/>
        </w:rPr>
        <w:t>一、塑造巴州文旅品牌</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（一）强化总体品牌</w:t>
      </w:r>
    </w:p>
    <w:p>
      <w:pPr>
        <w:adjustRightInd w:val="0"/>
        <w:snapToGrid w:val="0"/>
        <w:spacing w:before="120" w:beforeLines="50" w:after="120" w:afterLines="50" w:line="500" w:lineRule="atLeast"/>
        <w:ind w:firstLine="560" w:firstLineChars="200"/>
        <w:rPr>
          <w:rFonts w:hint="eastAsia" w:ascii="宋体" w:hAnsi="宋体" w:cs="宋体"/>
          <w:bCs/>
          <w:sz w:val="28"/>
          <w:szCs w:val="28"/>
        </w:rPr>
      </w:pPr>
      <w:bookmarkStart w:id="47" w:name="OLE_LINK24"/>
      <w:r>
        <w:rPr>
          <w:rFonts w:hint="eastAsia" w:ascii="宋体" w:hAnsi="宋体" w:cs="宋体"/>
          <w:bCs/>
          <w:sz w:val="28"/>
          <w:szCs w:val="28"/>
        </w:rPr>
        <w:t>协同“新疆是个好地方”自治区总品牌，围绕“山水、草原、胡杨、红色、民俗”五张名片，构建巴州文旅品牌体系，坚持“丝路山水</w:t>
      </w:r>
      <w:r>
        <w:rPr>
          <w:rFonts w:hint="eastAsia" w:ascii="微软雅黑" w:hAnsi="微软雅黑" w:eastAsia="微软雅黑" w:cs="微软雅黑"/>
          <w:bCs/>
          <w:sz w:val="28"/>
          <w:szCs w:val="28"/>
        </w:rPr>
        <w:t>・</w:t>
      </w:r>
      <w:r>
        <w:rPr>
          <w:rFonts w:hint="eastAsia" w:ascii="宋体" w:hAnsi="宋体" w:cs="宋体"/>
          <w:bCs/>
          <w:sz w:val="28"/>
          <w:szCs w:val="28"/>
        </w:rPr>
        <w:t>壮美巴州”为核心品牌标识。</w:t>
      </w:r>
      <w:bookmarkEnd w:id="47"/>
      <w:r>
        <w:rPr>
          <w:rFonts w:hint="eastAsia" w:ascii="宋体" w:hAnsi="宋体" w:cs="宋体"/>
          <w:bCs/>
          <w:sz w:val="28"/>
          <w:szCs w:val="28"/>
        </w:rPr>
        <w:t>形成“自然生态+历史人文”双主题品牌格局，提炼“生命绿洲、丝路枢纽、生态高地”等核心意象。联合区内外高校、考古机构开展楼兰文明、西域都护府历史专项研究，形成权威文化阐释文本。</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（二）构建品牌矩阵</w:t>
      </w:r>
    </w:p>
    <w:p>
      <w:pPr>
        <w:adjustRightInd w:val="0"/>
        <w:snapToGrid w:val="0"/>
        <w:spacing w:before="120" w:beforeLines="50" w:after="120" w:afterLines="50" w:line="480" w:lineRule="atLeast"/>
        <w:ind w:firstLine="560" w:firstLineChars="200"/>
        <w:rPr>
          <w:rFonts w:hint="eastAsia" w:ascii="宋体" w:hAnsi="宋体" w:cs="宋体"/>
          <w:bCs/>
          <w:sz w:val="28"/>
          <w:szCs w:val="28"/>
        </w:rPr>
      </w:pPr>
      <w:r>
        <w:rPr>
          <w:rFonts w:hint="eastAsia" w:ascii="宋体" w:hAnsi="宋体" w:cs="宋体"/>
          <w:bCs/>
          <w:sz w:val="28"/>
          <w:szCs w:val="28"/>
        </w:rPr>
        <w:t>构建巴州“1个核心品牌+9大主题品牌+9个县市地方品牌”品牌矩阵。以“丝路山水·壮美巴州”为统领，统筹打造“梨城风华、楼兰遗韵、东归故里、塔河秘境、胡杨颂歌、马兰精神、石油印记、草原牧歌、军垦荣光”等九大主题品牌，形成全域联动格局。推动各县市围绕自身资源禀赋开发地方品牌，形成“一地一品、一城一韵”的地域形象。</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（三）完善品牌管理</w:t>
      </w:r>
    </w:p>
    <w:p>
      <w:pPr>
        <w:adjustRightInd w:val="0"/>
        <w:snapToGrid w:val="0"/>
        <w:spacing w:before="120" w:beforeLines="50" w:after="120" w:afterLines="50" w:line="480" w:lineRule="atLeast"/>
        <w:ind w:firstLine="560" w:firstLineChars="200"/>
        <w:rPr>
          <w:rFonts w:hint="eastAsia" w:ascii="宋体" w:hAnsi="宋体" w:cs="宋体"/>
          <w:bCs/>
          <w:sz w:val="28"/>
          <w:szCs w:val="28"/>
        </w:rPr>
      </w:pPr>
      <w:r>
        <w:rPr>
          <w:rFonts w:hint="eastAsia" w:ascii="宋体" w:hAnsi="宋体" w:cs="宋体"/>
          <w:bCs/>
          <w:sz w:val="28"/>
          <w:szCs w:val="28"/>
        </w:rPr>
        <w:t>实施文旅品牌标准化管理工程，建立巴州文旅品牌评估体系与动态监测机制。出台巴州文旅品牌建设与传播指引，明确视觉识别规范、品牌授权管理、市场准入机制，确保品牌形象统一、传播有序。建设品牌传播智库，聚合高校、智库、媒体与企业资源，形成多方共建的品牌研究与推广网络。创新传播方式，深化与央视、新华社、抖音、快手等平台合作，打造多语种传播矩阵。</w:t>
      </w:r>
    </w:p>
    <w:p>
      <w:pPr>
        <w:adjustRightInd w:val="0"/>
        <w:snapToGrid w:val="0"/>
        <w:spacing w:before="120" w:beforeLines="50" w:after="120" w:afterLines="50" w:line="500" w:lineRule="atLeast"/>
        <w:ind w:firstLine="562" w:firstLineChars="200"/>
        <w:outlineLvl w:val="2"/>
        <w:rPr>
          <w:rFonts w:hint="eastAsia" w:ascii="楷体_GB2312" w:hAnsi="黑体" w:eastAsia="楷体_GB2312" w:cs="宋体"/>
          <w:b/>
          <w:bCs/>
          <w:sz w:val="28"/>
          <w:szCs w:val="28"/>
        </w:rPr>
      </w:pPr>
      <w:r>
        <w:rPr>
          <w:rFonts w:hint="eastAsia" w:ascii="楷体_GB2312" w:hAnsi="黑体" w:eastAsia="楷体_GB2312" w:cs="宋体"/>
          <w:b/>
          <w:bCs/>
          <w:sz w:val="28"/>
          <w:szCs w:val="28"/>
        </w:rPr>
        <w:t>二、做大文旅市场规模</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（一）全面拓展国内市场</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实施“东引西拓南联北融”的市场战略，强化重点客源地开拓与区域合作。聚焦京津冀、长三角、成渝、粤港澳大湾区等核心市场，举办“巴州文化旅游推介周”，推动品牌跨区域传播。完善“空铁联运+自驾通达+研学体验”的交通消费体系，优化出行便捷度。深化与文旅集团、OTA平台合作，推出“机票+酒店+门票+体验”一体化产品，构建“智慧营销+精准投放+联动促销”新模式。加强市场监测与数据分析，构建客源数据库，形成多层级、多主体、多通道的市场运营体系，持续提升巴州旅游的市场影响力。</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（二）集中拓展国际市场</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依托丝绸之路经济带，积极参加“文化走出去”行动，谋划驻外展演与文物巡展。完善入境游客服务体系，建设多语种网站，提升外语导览、退税支付、跨境结算等基础配套，支持餐饮、住宿、购物等重点商户提供多语种产品及服务清单，构建国际游客友好环境，共建共享丝路旅游经济圈，提升巴州文旅的国际竞争力与开放水平。推动国际旅行商、航空公司、文旅投资机构参与合作，利用“一带一路”平台举办“丝路文旅国际推介会”。</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（三）培育特色细分市场</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构建以主题线路为核心的细分业态体系。</w:t>
      </w:r>
      <w:r>
        <w:rPr>
          <w:rFonts w:ascii="宋体" w:hAnsi="宋体" w:cs="宋体"/>
          <w:sz w:val="28"/>
          <w:szCs w:val="28"/>
        </w:rPr>
        <w:t>通过资源串联、业态融合、客群精准对接，</w:t>
      </w:r>
      <w:r>
        <w:rPr>
          <w:rFonts w:hint="eastAsia" w:ascii="宋体" w:hAnsi="宋体" w:cs="宋体"/>
          <w:sz w:val="28"/>
          <w:szCs w:val="28"/>
        </w:rPr>
        <w:t>形成</w:t>
      </w:r>
      <w:r>
        <w:rPr>
          <w:rFonts w:ascii="宋体" w:hAnsi="宋体" w:cs="宋体"/>
          <w:sz w:val="28"/>
          <w:szCs w:val="28"/>
        </w:rPr>
        <w:t>“主题鲜明、体验丰富、全域覆盖”的文旅产品体系，实现四季旅游产品均衡布局与客群精准对接，全面提升巴州文旅品牌竞争力。</w:t>
      </w:r>
    </w:p>
    <w:p>
      <w:pPr>
        <w:adjustRightInd w:val="0"/>
        <w:snapToGrid w:val="0"/>
        <w:spacing w:before="120" w:beforeLines="50" w:after="120" w:afterLines="50" w:line="500" w:lineRule="atLeast"/>
        <w:ind w:firstLine="562" w:firstLineChars="200"/>
        <w:outlineLvl w:val="2"/>
        <w:rPr>
          <w:rFonts w:hint="eastAsia" w:ascii="楷体_GB2312" w:hAnsi="黑体" w:eastAsia="楷体_GB2312" w:cs="宋体"/>
          <w:b/>
          <w:bCs/>
          <w:sz w:val="28"/>
          <w:szCs w:val="28"/>
        </w:rPr>
      </w:pPr>
      <w:r>
        <w:rPr>
          <w:rFonts w:hint="eastAsia" w:ascii="楷体_GB2312" w:hAnsi="黑体" w:eastAsia="楷体_GB2312" w:cs="宋体"/>
          <w:b/>
          <w:bCs/>
          <w:sz w:val="28"/>
          <w:szCs w:val="28"/>
        </w:rPr>
        <w:t>三、统筹四季节事营销</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（一）春赏花开牧歌</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围绕“春·生机巴州”，构建踏青、赏花、民俗为核心的春季节事体系。依托轮台杏花、库尔勒梨花、博湖桃花等资源，谋划杏花文化旅游季、梨花摄影季、花田音乐季，打造观花、摄影、音乐、民俗互动场景。推出“花开巴州”主题线路，叠加摄影展、露营活动、非遗展示等内容，形成复合型春季体验。推动花海节事与农旅产业融合，引导农牧民参与花海集市和农副产品展销，促进三产融合。</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（二）夏享避暑休闲</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锚定“夏·极致巴州”，打造避暑休闲、户外运动为主的夏季品牌矩阵。依托天山草原、博斯腾湖、孔雀河、塔里木河，构建生态避暑、湖泊亲水、山地探险三大板块。推出草原避暑季、天鹅湖研学、滨水露营等产品；依托博斯腾湖、天鹅河景区发展帆船、龙舟、水上乐园，策划龙舟赛、水上音乐季；依托阿尔金山谋划科考探险、自驾穿越、野生动物观测等项目。实施“体育+文旅+音乐”融合工程，打造夏日嘉年华，布局湖畔不夜城、草原露营营地、孔雀河与塔河夜游等夜间消费体系，形成“夜演+夜宿+夜食+夜购”链条。完善智能灯光、补给站、应急点等服务设施，塑造“运动之州、清凉巴州”形象。</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（三）秋览金色风物</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围绕“秋·绚烂巴州”，构建金色景观和农耕文化主题的秋季节事体系。依托尉犁胡杨林、香梨园、红枣林和塔河生态带，举办胡杨摄影季、胡杨林马拉松，推出“金秋胡杨·寻梦塔河”线路。布局东归文化体验产品，升级舞台剧《东归·印象》及土尔扈特民俗深度体验项目。依托农民丰收节，策划采摘活动、农耕庆典、丰收美食展，扩大农旅体验供给。整合香梨采摘季、红枣节、乳业文化活动，推出“丰收巴州·金色田野”系列节事。强化“丰收活动+电商+直播”联动，吸引达人直播带货，形成线上线下双循环模式。以节庆带动农旅融合，打造“胡杨、丰收、东归文化”秋季品牌。</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（四）冬游冰雪秘境</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积极开展冬季网红打卡和冰雪旅游直播活动，加强市场引导和氛围营造，吸引更多群众和游客参与到冰雪活动中来。全面推广“冬游·秘境巴州”品牌，构建冰雪运动、温泉康养、文化研学三大体系。依托巴音布鲁克雪原、博斯腾湖冰面、库尔勒市冰雪场景、巩乃斯温泉带等资源，打造“天山雪韵”品牌，发展高山滑雪、冰雪那达慕、雪雕艺术展，打造南疆冰雪运动基地。发展温泉康养产品，推出雪地温泉、药浴康疗等冬季疗愈模式。</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（五）强化四季协同</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构建“春花、夏凉、秋色、冬雪”四季协同体系，强化产品联动、品牌统一。推出四季联游通票、节事积分制、年卡优惠等跨季产品，提升游客黏性。统一节事视觉体系，形成贯穿全年节事的传播主线。依托库尔勒枢纽，联动焉耆、和硕、博湖、尉犁、和静、且末，构建“核心引领+多点支撑”的节事网络。落实《节庆活动管理办法》《新疆维吾尔自治区节庆活动审批和备案程序》等规章制度，推进制度化运营、市场化运作与数字化赋能，形成“四季不断、全域覆盖、管理规范、全民参与”的节事格局。</w:t>
      </w:r>
    </w:p>
    <w:p>
      <w:pPr>
        <w:adjustRightInd w:val="0"/>
        <w:snapToGrid w:val="0"/>
        <w:spacing w:before="120" w:beforeLines="50" w:after="120" w:afterLines="50" w:line="500" w:lineRule="atLeast"/>
        <w:ind w:firstLine="562" w:firstLineChars="200"/>
        <w:outlineLvl w:val="2"/>
        <w:rPr>
          <w:rFonts w:hint="eastAsia" w:ascii="楷体_GB2312" w:hAnsi="黑体" w:eastAsia="楷体_GB2312" w:cs="宋体"/>
          <w:b/>
          <w:bCs/>
          <w:sz w:val="28"/>
          <w:szCs w:val="28"/>
        </w:rPr>
      </w:pPr>
      <w:r>
        <w:rPr>
          <w:rFonts w:hint="eastAsia" w:ascii="楷体_GB2312" w:hAnsi="黑体" w:eastAsia="楷体_GB2312" w:cs="宋体"/>
          <w:b/>
          <w:bCs/>
          <w:sz w:val="28"/>
          <w:szCs w:val="28"/>
        </w:rPr>
        <w:t>四、建立文旅推广体系</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（一）强化传统文旅推广</w:t>
      </w:r>
    </w:p>
    <w:p>
      <w:pPr>
        <w:adjustRightInd w:val="0"/>
        <w:snapToGrid w:val="0"/>
        <w:spacing w:before="120" w:beforeLines="50" w:after="120" w:afterLines="50" w:line="500" w:lineRule="exact"/>
        <w:ind w:firstLine="560" w:firstLineChars="200"/>
        <w:rPr>
          <w:rFonts w:hint="eastAsia" w:ascii="宋体" w:hAnsi="宋体" w:cs="宋体"/>
          <w:sz w:val="28"/>
          <w:szCs w:val="28"/>
        </w:rPr>
      </w:pPr>
      <w:r>
        <w:rPr>
          <w:rFonts w:hint="eastAsia" w:ascii="宋体" w:hAnsi="宋体" w:cs="宋体"/>
          <w:sz w:val="28"/>
          <w:szCs w:val="28"/>
        </w:rPr>
        <w:t>依托中央、自治区媒体资源，积极开展“讲好巴州故事”系列活动，组织重点景区赴疆外主要客源地、重点城市开展巴州文旅资源推介活动，拍摄文旅宣传片，全方位、多角度展现巴州地域特色，并在电视台、高铁、机场等场景投放展示。加强与影视制作机构合作，推动在罗布人村寨、胡杨林等地取景拍摄。通过电视专栏、纸媒专题、文化专刊等形式多维传播，实现“媒体联播+社会共鸣+形象提升”的传播闭环。</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（二）构建数字营销体系</w:t>
      </w:r>
    </w:p>
    <w:p>
      <w:pPr>
        <w:adjustRightInd w:val="0"/>
        <w:snapToGrid w:val="0"/>
        <w:spacing w:before="120" w:beforeLines="50" w:after="120" w:afterLines="50" w:line="480" w:lineRule="exact"/>
        <w:ind w:firstLine="560" w:firstLineChars="200"/>
        <w:rPr>
          <w:rFonts w:hint="eastAsia" w:ascii="宋体" w:hAnsi="宋体" w:cs="宋体"/>
          <w:sz w:val="28"/>
          <w:szCs w:val="28"/>
        </w:rPr>
      </w:pPr>
      <w:r>
        <w:rPr>
          <w:rFonts w:hint="eastAsia" w:ascii="宋体" w:hAnsi="宋体" w:cs="宋体"/>
          <w:sz w:val="28"/>
          <w:szCs w:val="28"/>
        </w:rPr>
        <w:t>以数字技术赋能文旅传播、驱动精准营销。推动旅游景区、文博场馆、民宿集群上线数字化服务，形成“云展示、云互动、云预订”一体化系统，加强巴音布鲁克、博斯腾湖景区智慧旅游平台建设，提升数据采集舆情分析、客源监测等功能，实现实时数据分析与精准投放。组织“巴州文旅创意短视频大赛”，引导青年创作者生产高质量内容。建设“巴州文旅直播矩阵”，打造“文旅达人联盟”，开展主题直播活动。构建“线上导览+线下体验+社交传播”闭环，实现从认知到转化的全流程传播。</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（三）深化文旅营销协作</w:t>
      </w:r>
    </w:p>
    <w:p>
      <w:pPr>
        <w:adjustRightInd w:val="0"/>
        <w:snapToGrid w:val="0"/>
        <w:spacing w:before="120" w:beforeLines="50" w:after="120" w:afterLines="50" w:line="480" w:lineRule="exact"/>
        <w:ind w:firstLine="560" w:firstLineChars="200"/>
        <w:rPr>
          <w:rFonts w:hint="eastAsia" w:ascii="宋体" w:hAnsi="宋体" w:cs="宋体"/>
          <w:color w:val="FF0000"/>
          <w:sz w:val="28"/>
          <w:szCs w:val="28"/>
        </w:rPr>
      </w:pPr>
      <w:r>
        <w:rPr>
          <w:rFonts w:hint="eastAsia" w:ascii="宋体" w:hAnsi="宋体" w:cs="宋体"/>
          <w:sz w:val="28"/>
          <w:szCs w:val="28"/>
        </w:rPr>
        <w:t>坚持以开放合作为导向，推动区域文旅一体化与国际化发展。深化与乌鲁木齐、阿克苏、吐鲁番、哈密等地州协作，联合开发“环塔里木文化探秘”“丝路遗迹走廊”等精品线路。依托援疆机制，建立与京津、河南、四川、甘肃、河北、山东、陕西、安徽、江苏、湖北、重庆等疆外主要客源地的旅行社、在线旅游平台战略合作，共同开展宣传推广活动。探索区域旅游“一卡通”模式，实现景区互惠、门票联售，促进客源互送和消费联动。依托甘新蒙青“四省十二城”文旅联盟等平台，开展文化交流、艺术展演与遗产保护合作，推动资源共享与客源互补。</w:t>
      </w:r>
    </w:p>
    <w:p>
      <w:pPr>
        <w:adjustRightInd w:val="0"/>
        <w:snapToGrid w:val="0"/>
        <w:spacing w:before="240" w:beforeLines="100" w:after="240" w:afterLines="100" w:line="500" w:lineRule="atLeast"/>
        <w:jc w:val="center"/>
        <w:outlineLvl w:val="1"/>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第六节  提升旅游公共服务水平</w:t>
      </w:r>
    </w:p>
    <w:p>
      <w:pPr>
        <w:adjustRightInd w:val="0"/>
        <w:snapToGrid w:val="0"/>
        <w:spacing w:before="120" w:beforeLines="50" w:after="120" w:afterLines="50" w:line="500" w:lineRule="atLeast"/>
        <w:ind w:firstLine="562" w:firstLineChars="200"/>
        <w:outlineLvl w:val="2"/>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一、全面提升服务能力</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（一）完善旅游基础设施</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bCs/>
          <w:sz w:val="28"/>
          <w:szCs w:val="28"/>
        </w:rPr>
        <w:t>推进旅游厕所革命。加大</w:t>
      </w:r>
      <w:r>
        <w:rPr>
          <w:rFonts w:hint="eastAsia" w:ascii="宋体" w:hAnsi="宋体" w:cs="宋体"/>
          <w:sz w:val="28"/>
          <w:szCs w:val="28"/>
        </w:rPr>
        <w:t>新建或改扩建旅游厕所力度，实现重点景区、旅游线路、乡村旅游点旅游厕所全覆盖，推广应用节水节能环保新技术、新材料，提升旅游厕所建设品质。</w:t>
      </w:r>
      <w:r>
        <w:rPr>
          <w:rFonts w:hint="eastAsia" w:ascii="宋体" w:hAnsi="宋体" w:cs="宋体"/>
          <w:bCs/>
          <w:sz w:val="28"/>
          <w:szCs w:val="28"/>
        </w:rPr>
        <w:t>加强旅游停车场建设。</w:t>
      </w:r>
      <w:r>
        <w:rPr>
          <w:rFonts w:hint="eastAsia" w:ascii="宋体" w:hAnsi="宋体" w:cs="宋体"/>
          <w:sz w:val="28"/>
          <w:szCs w:val="28"/>
        </w:rPr>
        <w:t>在3A级以上旅游景区、重点乡村旅游村镇新建或改扩建停车场，配套建设新能源汽车充电桩。</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（二）提升旅游服务质量</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bCs/>
          <w:sz w:val="28"/>
          <w:szCs w:val="28"/>
        </w:rPr>
        <w:t>推进旅游标准化建设。</w:t>
      </w:r>
      <w:r>
        <w:rPr>
          <w:rFonts w:hint="eastAsia" w:ascii="宋体" w:hAnsi="宋体" w:cs="宋体"/>
          <w:sz w:val="28"/>
          <w:szCs w:val="28"/>
        </w:rPr>
        <w:t>开展旅游服务质量标准化建设活动，打造旅游服务质量标杆单位，发挥示范引领作用。</w:t>
      </w:r>
      <w:r>
        <w:rPr>
          <w:rFonts w:hint="eastAsia" w:ascii="宋体" w:hAnsi="宋体" w:cs="宋体"/>
          <w:bCs/>
          <w:sz w:val="28"/>
          <w:szCs w:val="28"/>
        </w:rPr>
        <w:t>加强旅游从业人员培训。</w:t>
      </w:r>
      <w:r>
        <w:rPr>
          <w:rFonts w:hint="eastAsia" w:ascii="宋体" w:hAnsi="宋体" w:cs="宋体"/>
          <w:sz w:val="28"/>
          <w:szCs w:val="28"/>
        </w:rPr>
        <w:t>实现旅游从业人员培训全覆盖，开展旅游服务技能大赛，提升旅游从业人员服务意识和技能水平。健全旅游综合监管机制，加强部门联合执法，规范旅游市场秩序。实现旅游投诉“一口受理”“限时办结”。持续推进旅游服务体系适老化建设。落实应对人口老龄化国家战略，开发康养慢游、旅居康养等银龄旅游产品，打造一批环境优美、设施完善、服务友好的旅居康养目的地，丰富适老文化体验与保险保障，提升旅游设施、服务、管理的适老化水平。</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（三）强化旅游安全救援</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明确旅游安全责任，规范旅游安全行为，加强旅游安全监管，防范和遏制旅游安全事故发生。在重点景区、旅游线路建设旅游安全警示标识、防护栏、紧急救援点等设施，配备必要的救援设备和物资，提高旅游安全保障能力。加强与公安、消防、卫健、应急等部门协作联动，开展旅游应急救援演练，提高旅游突发事件应急处置能力。</w:t>
      </w:r>
    </w:p>
    <w:p>
      <w:pPr>
        <w:adjustRightInd w:val="0"/>
        <w:snapToGrid w:val="0"/>
        <w:spacing w:before="120" w:beforeLines="50" w:after="120" w:afterLines="50" w:line="500" w:lineRule="atLeast"/>
        <w:ind w:firstLine="562" w:firstLineChars="200"/>
        <w:outlineLvl w:val="2"/>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二、重点推进交旅融合</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（一）完善旅游交通网络</w:t>
      </w:r>
    </w:p>
    <w:p>
      <w:pPr>
        <w:adjustRightInd w:val="0"/>
        <w:snapToGrid w:val="0"/>
        <w:spacing w:before="120" w:beforeLines="50" w:after="120" w:afterLines="50" w:line="500" w:lineRule="atLeast"/>
        <w:ind w:firstLine="562" w:firstLineChars="200"/>
        <w:rPr>
          <w:rFonts w:hint="eastAsia" w:ascii="宋体" w:hAnsi="宋体" w:cs="宋体"/>
          <w:bCs/>
          <w:sz w:val="28"/>
          <w:szCs w:val="28"/>
        </w:rPr>
      </w:pPr>
      <w:r>
        <w:rPr>
          <w:rFonts w:hint="eastAsia" w:ascii="宋体" w:hAnsi="宋体" w:cs="宋体"/>
          <w:b/>
          <w:sz w:val="28"/>
          <w:szCs w:val="28"/>
        </w:rPr>
        <w:t>织密城际列车与航线航班</w:t>
      </w:r>
      <w:r>
        <w:rPr>
          <w:rFonts w:hint="eastAsia" w:ascii="宋体" w:hAnsi="宋体" w:cs="宋体"/>
          <w:bCs/>
          <w:sz w:val="28"/>
          <w:szCs w:val="28"/>
        </w:rPr>
        <w:t>。以库尔勒市为中心开通至周边主要城市的3小时疆内城际列车，加密优化直飞、串飞、环飞航线航班。</w:t>
      </w:r>
    </w:p>
    <w:p>
      <w:pPr>
        <w:adjustRightInd w:val="0"/>
        <w:snapToGrid w:val="0"/>
        <w:spacing w:before="120" w:beforeLines="50" w:after="120" w:afterLines="50" w:line="500" w:lineRule="atLeast"/>
        <w:ind w:firstLine="562" w:firstLineChars="200"/>
        <w:rPr>
          <w:rFonts w:hint="eastAsia" w:ascii="宋体" w:hAnsi="宋体" w:cs="宋体"/>
          <w:sz w:val="28"/>
          <w:szCs w:val="28"/>
        </w:rPr>
      </w:pPr>
      <w:r>
        <w:rPr>
          <w:rFonts w:hint="eastAsia" w:ascii="宋体" w:hAnsi="宋体" w:cs="宋体"/>
          <w:b/>
          <w:sz w:val="28"/>
          <w:szCs w:val="28"/>
        </w:rPr>
        <w:t>推进重点旅游通道建设</w:t>
      </w:r>
      <w:r>
        <w:rPr>
          <w:rFonts w:hint="eastAsia" w:ascii="宋体" w:hAnsi="宋体" w:cs="宋体"/>
          <w:bCs/>
          <w:sz w:val="28"/>
          <w:szCs w:val="28"/>
        </w:rPr>
        <w:t>。</w:t>
      </w:r>
      <w:r>
        <w:rPr>
          <w:rFonts w:hint="eastAsia" w:ascii="宋体" w:hAnsi="宋体" w:cs="宋体"/>
          <w:sz w:val="28"/>
          <w:szCs w:val="28"/>
        </w:rPr>
        <w:t>加快建设那巴高速、独库高速等重点项目，提质升级巴音布鲁克—巩乃斯—那拉提“黄金旅游通道”。重点推进环博斯腾湖、环塔里木、巴音布鲁克“三大黄金走廊”风景道建设，形成“快进慢游”的旅游交通网络。</w:t>
      </w:r>
    </w:p>
    <w:p>
      <w:pPr>
        <w:adjustRightInd w:val="0"/>
        <w:snapToGrid w:val="0"/>
        <w:spacing w:before="120" w:beforeLines="50" w:after="120" w:afterLines="50" w:line="500" w:lineRule="atLeast"/>
        <w:ind w:firstLine="562" w:firstLineChars="200"/>
        <w:rPr>
          <w:rFonts w:hint="eastAsia" w:ascii="宋体" w:hAnsi="宋体" w:cs="宋体"/>
          <w:sz w:val="28"/>
          <w:szCs w:val="28"/>
        </w:rPr>
      </w:pPr>
      <w:r>
        <w:rPr>
          <w:rFonts w:hint="eastAsia" w:ascii="宋体" w:hAnsi="宋体" w:cs="宋体"/>
          <w:b/>
          <w:sz w:val="28"/>
          <w:szCs w:val="28"/>
        </w:rPr>
        <w:t>提质升级旅游连接公路</w:t>
      </w:r>
      <w:r>
        <w:rPr>
          <w:rFonts w:hint="eastAsia" w:ascii="宋体" w:hAnsi="宋体" w:cs="宋体"/>
          <w:bCs/>
          <w:sz w:val="28"/>
          <w:szCs w:val="28"/>
        </w:rPr>
        <w:t>。</w:t>
      </w:r>
      <w:r>
        <w:rPr>
          <w:rFonts w:hint="eastAsia" w:ascii="宋体" w:hAnsi="宋体" w:cs="宋体"/>
          <w:sz w:val="28"/>
          <w:szCs w:val="28"/>
        </w:rPr>
        <w:t>新建或改扩建通往3A级以上景区、度假区的道路，对具备建设条件的路段按照三级及以上公路标准实施建设，实现景区与主要交通干线顺畅连接。</w:t>
      </w:r>
      <w:r>
        <w:rPr>
          <w:rFonts w:hint="eastAsia" w:ascii="宋体" w:hAnsi="宋体" w:cs="宋体"/>
          <w:bCs/>
          <w:sz w:val="28"/>
          <w:szCs w:val="28"/>
        </w:rPr>
        <w:t>完善乡村旅游道路，重点建设乡村旅游重点村、乡村旅游集聚区、村镇、民宿的乡村旅游道路，配套建设小型服务区，完善旅游交通标识</w:t>
      </w:r>
      <w:r>
        <w:rPr>
          <w:rFonts w:hint="eastAsia" w:ascii="宋体" w:hAnsi="宋体" w:cs="宋体"/>
          <w:sz w:val="28"/>
          <w:szCs w:val="28"/>
        </w:rPr>
        <w:t>。</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（二）推进交旅深度融合</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推出10条以上交通旅游精品线路，打造“流动的风景线”；举办“巴州最美旅游公路”评选活动，提升旅游交通吸引力。实施“美丽乡村路+乡村旅游”示范工程，串联乡村旅游重点村；开通“乡村慢游”电动观光车线路，统一涂装、统一调度。</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bookmarkStart w:id="48" w:name="OLE_LINK36"/>
      <w:r>
        <w:rPr>
          <w:rFonts w:hint="eastAsia" w:ascii="宋体" w:hAnsi="宋体" w:cs="宋体"/>
          <w:b/>
          <w:sz w:val="28"/>
          <w:szCs w:val="28"/>
        </w:rPr>
        <w:t>（三）推进旅游风景道建设</w:t>
      </w:r>
    </w:p>
    <w:bookmarkEnd w:id="48"/>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bCs/>
          <w:sz w:val="28"/>
          <w:szCs w:val="28"/>
        </w:rPr>
        <w:t>构建旅游风景道路网络体系。</w:t>
      </w:r>
      <w:r>
        <w:rPr>
          <w:rFonts w:hint="eastAsia" w:ascii="宋体" w:hAnsi="宋体" w:cs="宋体"/>
          <w:sz w:val="28"/>
          <w:szCs w:val="28"/>
        </w:rPr>
        <w:t>以“超级8字型旅游主环线+双枢纽双环线六放射”为核心结构，推动旅游交通网络与景观廊道深度融合，建设国家级旅游风景道路体系。</w:t>
      </w:r>
    </w:p>
    <w:p>
      <w:pPr>
        <w:adjustRightInd w:val="0"/>
        <w:snapToGrid w:val="0"/>
        <w:spacing w:before="120" w:beforeLines="50" w:after="120" w:afterLines="50" w:line="500" w:lineRule="atLeast"/>
        <w:ind w:firstLine="562" w:firstLineChars="200"/>
        <w:rPr>
          <w:rFonts w:hint="eastAsia" w:ascii="宋体" w:hAnsi="宋体" w:cs="宋体"/>
          <w:color w:val="EE0000"/>
          <w:sz w:val="28"/>
          <w:szCs w:val="28"/>
        </w:rPr>
      </w:pPr>
      <w:r>
        <w:rPr>
          <w:rFonts w:hint="eastAsia" w:ascii="宋体" w:hAnsi="宋体" w:cs="宋体"/>
          <w:b/>
          <w:bCs/>
          <w:sz w:val="28"/>
          <w:szCs w:val="28"/>
        </w:rPr>
        <w:t>超级“8”字型旅游主环线：</w:t>
      </w:r>
      <w:r>
        <w:rPr>
          <w:rFonts w:hint="eastAsia" w:ascii="宋体" w:hAnsi="宋体" w:cs="宋体"/>
          <w:sz w:val="28"/>
          <w:szCs w:val="28"/>
        </w:rPr>
        <w:t>重点围绕G218、G314、G216、G315、S340、S12等道路，全力推进G218线那拉提至巴仑台等国道建设改造，贯通巴州南北，串联9县市，实现“串珠成链、连线成环”。</w:t>
      </w:r>
    </w:p>
    <w:p>
      <w:pPr>
        <w:adjustRightInd w:val="0"/>
        <w:snapToGrid w:val="0"/>
        <w:spacing w:before="120" w:beforeLines="50" w:after="120" w:afterLines="50" w:line="500" w:lineRule="atLeast"/>
        <w:ind w:firstLine="562" w:firstLineChars="200"/>
        <w:rPr>
          <w:rFonts w:hint="eastAsia" w:ascii="宋体" w:hAnsi="宋体" w:cs="宋体"/>
          <w:sz w:val="28"/>
          <w:szCs w:val="28"/>
        </w:rPr>
      </w:pPr>
      <w:r>
        <w:rPr>
          <w:rFonts w:hint="eastAsia" w:ascii="宋体" w:hAnsi="宋体" w:cs="宋体"/>
          <w:b/>
          <w:bCs/>
          <w:sz w:val="28"/>
          <w:szCs w:val="28"/>
        </w:rPr>
        <w:t>双枢纽：</w:t>
      </w:r>
      <w:r>
        <w:rPr>
          <w:rFonts w:hint="eastAsia" w:ascii="宋体" w:hAnsi="宋体" w:cs="宋体"/>
          <w:sz w:val="28"/>
          <w:szCs w:val="28"/>
        </w:rPr>
        <w:t>北部迎宾枢纽——巩乃斯镇。围绕巩乃斯镇那巴高速、独库高速（在建），G217、G218国道的“黄金十字”交通区位优势，打造东西向沟通巴州和伊犁，南北向连接塔城、阿克苏地区，延伸昌吉和乌鲁木齐地区的北部门户，建设次级旅游集散中心，形成旅游集散、全州旅游咨询服务的北部中心。南部迎宾枢纽——若羌县。围绕若羌县西和高速、乌若高速、阿若高速（在建），G218、G315国道的交汇区位优势，沟通巴州南北，东西向连接和田地区和甘肃省、青海省，延伸西藏自治区，通过建设次级旅游集散中心，打造全州旅游集散、旅游咨询服务的南部中心。</w:t>
      </w:r>
    </w:p>
    <w:p>
      <w:pPr>
        <w:adjustRightInd w:val="0"/>
        <w:snapToGrid w:val="0"/>
        <w:spacing w:before="120" w:beforeLines="50" w:after="120" w:afterLines="50" w:line="500" w:lineRule="atLeast"/>
        <w:ind w:firstLine="562" w:firstLineChars="200"/>
        <w:rPr>
          <w:rFonts w:hint="eastAsia" w:ascii="宋体" w:hAnsi="宋体" w:cs="宋体"/>
          <w:sz w:val="28"/>
          <w:szCs w:val="28"/>
        </w:rPr>
      </w:pPr>
      <w:r>
        <w:rPr>
          <w:rFonts w:hint="eastAsia" w:ascii="宋体" w:hAnsi="宋体" w:cs="宋体"/>
          <w:b/>
          <w:bCs/>
          <w:sz w:val="28"/>
          <w:szCs w:val="28"/>
        </w:rPr>
        <w:t>双环线：</w:t>
      </w:r>
      <w:r>
        <w:rPr>
          <w:rFonts w:hint="eastAsia" w:ascii="宋体" w:hAnsi="宋体" w:cs="宋体"/>
          <w:sz w:val="28"/>
          <w:szCs w:val="28"/>
        </w:rPr>
        <w:t>北部生态环线。以G218、G217、G314、S340、S12为基础，连接库尔勒—博湖—焉耆—焉耆—和静—轮台，串联巴州北部核心景区景点，构建草原、山地、湖泊、民族风情游环线。打造北部历史、民俗与红色文化体验、冰雪运动、生态观光与休闲度假核心区域。中部沙漠环线。以G216、G314、G218、G315为基础，连接轮台—且末—若羌—尉犁—库尔勒，串联巴州中部和南部核心景区景点，构建沙漠、绿洲、胡杨、高原、遗址遗迹游环线。打造中部和南部沙漠特种游、高原生态科考特种游、</w:t>
      </w:r>
      <w:bookmarkStart w:id="51" w:name="_GoBack"/>
      <w:r>
        <w:rPr>
          <w:rFonts w:hint="eastAsia" w:ascii="宋体" w:hAnsi="宋体" w:cs="宋体"/>
          <w:sz w:val="28"/>
          <w:szCs w:val="28"/>
        </w:rPr>
        <w:t>历史文化</w:t>
      </w:r>
      <w:bookmarkEnd w:id="51"/>
      <w:r>
        <w:rPr>
          <w:rFonts w:hint="eastAsia" w:ascii="宋体" w:hAnsi="宋体" w:cs="宋体"/>
          <w:sz w:val="28"/>
          <w:szCs w:val="28"/>
        </w:rPr>
        <w:t>体验核心区域。</w:t>
      </w:r>
    </w:p>
    <w:p>
      <w:pPr>
        <w:adjustRightInd w:val="0"/>
        <w:snapToGrid w:val="0"/>
        <w:spacing w:before="120" w:beforeLines="50" w:after="120" w:afterLines="50" w:line="480" w:lineRule="atLeast"/>
        <w:ind w:firstLine="562" w:firstLineChars="200"/>
        <w:rPr>
          <w:rFonts w:hint="eastAsia" w:ascii="宋体" w:hAnsi="宋体" w:cs="宋体"/>
          <w:sz w:val="28"/>
          <w:szCs w:val="28"/>
        </w:rPr>
      </w:pPr>
      <w:r>
        <w:rPr>
          <w:rFonts w:hint="eastAsia" w:ascii="宋体" w:hAnsi="宋体" w:cs="宋体"/>
          <w:b/>
          <w:bCs/>
          <w:sz w:val="28"/>
          <w:szCs w:val="28"/>
        </w:rPr>
        <w:t>六放射线：</w:t>
      </w:r>
      <w:r>
        <w:rPr>
          <w:rFonts w:hint="eastAsia" w:ascii="宋体" w:hAnsi="宋体" w:cs="宋体"/>
          <w:sz w:val="28"/>
          <w:szCs w:val="28"/>
        </w:rPr>
        <w:t>全面辐射周边重点区域。西向北道+东北放射线：G314与G3012（吐和高速）连接吐鲁番、乌鲁木齐及天山北坡城市群；西向南道+东南放射线：G315、G0612（西和高速）、G571（阿若高速），向西接通阿克苏、喀什并辐射和田地区，向东接通青海海西州（茫崖市）、甘肃酒泉市（敦煌市）；北向放射线：G216+G217+G218+G0711（乌若高速），全线贯通天山腹地，形成高原生态旅游大道；南向放射线：G216直通阿里，打开西藏南线进出通道；中部南北穿沙线路：S254尉犁—且末第二沙漠公路，贯穿塔克拉玛干沙漠腹地，提升南北联通性；中部西北—东南斜向联通线：S233且末—塔中，实现沙漠旅游核心带的斜向穿通，打造“沙漠之脊”探险通道。</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bCs/>
          <w:sz w:val="28"/>
          <w:szCs w:val="28"/>
        </w:rPr>
        <w:t>打造“丝路山水·壮美巴州”高等级风景道集群。</w:t>
      </w:r>
      <w:r>
        <w:rPr>
          <w:rFonts w:hint="eastAsia" w:ascii="宋体" w:hAnsi="宋体" w:cs="宋体"/>
          <w:sz w:val="28"/>
          <w:szCs w:val="28"/>
        </w:rPr>
        <w:t>形成6条国家级风景道骨架，建成南疆首个“快进慢游、景道合一、主客共享”自驾游与骑行友好示范州。以国道、省道为基础，串联景区景点、特色村镇等资源，打造主题化、精品化景观廊道。完善慢行系统、标识系统、安全救援体系及文旅业态，确保道路畅通性与服务配套协同发展。</w:t>
      </w:r>
    </w:p>
    <w:p>
      <w:pPr>
        <w:adjustRightInd w:val="0"/>
        <w:snapToGrid w:val="0"/>
        <w:spacing w:before="240" w:beforeLines="100" w:after="240" w:afterLines="100" w:line="500" w:lineRule="atLeast"/>
        <w:jc w:val="center"/>
        <w:outlineLvl w:val="1"/>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 xml:space="preserve">第七节  </w:t>
      </w:r>
      <w:bookmarkStart w:id="49" w:name="_Hlk236979841"/>
      <w:r>
        <w:rPr>
          <w:rFonts w:hint="eastAsia" w:ascii="楷体_GB2312" w:hAnsi="楷体_GB2312" w:eastAsia="楷体_GB2312" w:cs="楷体_GB2312"/>
          <w:b/>
          <w:bCs/>
          <w:sz w:val="28"/>
          <w:szCs w:val="28"/>
        </w:rPr>
        <w:t>全面提升文旅治理效能</w:t>
      </w:r>
      <w:bookmarkEnd w:id="49"/>
    </w:p>
    <w:p>
      <w:pPr>
        <w:adjustRightInd w:val="0"/>
        <w:snapToGrid w:val="0"/>
        <w:spacing w:before="120" w:beforeLines="50" w:after="120" w:afterLines="50" w:line="500" w:lineRule="atLeast"/>
        <w:ind w:firstLine="562" w:firstLineChars="200"/>
        <w:outlineLvl w:val="2"/>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一、优化发展环境</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（一）完善法规政策体系</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依托《巴音郭楞蒙古自治州文化旅游促进条例》，明确文化和旅游市场的各方主体责任，建立条例实施评估机制，定期开展执法检查。在文旅项目审批、土地使用、财税支持、人才培养等方面提供政策保障。实施文旅项目“点状供地”模式，解决驿站、营地等小规模文旅设施用地问题。</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（二）培育诚信市场生态</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bCs/>
          <w:sz w:val="28"/>
          <w:szCs w:val="28"/>
        </w:rPr>
        <w:t>建立信用承诺制度。</w:t>
      </w:r>
      <w:r>
        <w:rPr>
          <w:rFonts w:hint="eastAsia" w:ascii="宋体" w:hAnsi="宋体" w:cs="宋体"/>
          <w:sz w:val="28"/>
          <w:szCs w:val="28"/>
        </w:rPr>
        <w:t>鼓励文旅市场主体主动向社会做出信用承诺，支持行业协会建立行业信用承诺制度。</w:t>
      </w:r>
      <w:r>
        <w:rPr>
          <w:rFonts w:hint="eastAsia" w:ascii="宋体" w:hAnsi="宋体" w:cs="宋体"/>
          <w:bCs/>
          <w:sz w:val="28"/>
          <w:szCs w:val="28"/>
        </w:rPr>
        <w:t>创新信用应用场景。</w:t>
      </w:r>
      <w:r>
        <w:rPr>
          <w:rFonts w:hint="eastAsia" w:ascii="宋体" w:hAnsi="宋体" w:cs="宋体"/>
          <w:sz w:val="28"/>
          <w:szCs w:val="28"/>
        </w:rPr>
        <w:t>拓展“信用+文旅”创新实践，探索信用与融资、保险、大数据管理等领域协作。对信用等级高的企业在项目申报、资金扶持、宣传推广等方面给予优先支持。</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（三）提升政务服务效能</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bCs/>
          <w:sz w:val="28"/>
          <w:szCs w:val="28"/>
        </w:rPr>
        <w:t>推进数字化政务建设。</w:t>
      </w:r>
      <w:r>
        <w:rPr>
          <w:rFonts w:hint="eastAsia" w:ascii="宋体" w:hAnsi="宋体" w:cs="宋体"/>
          <w:sz w:val="28"/>
          <w:szCs w:val="28"/>
        </w:rPr>
        <w:t>依托自治区和巴州在线政务平台，实现文旅企业涉企审批“一网通办”，压缩办理时限和审批流程。充分发挥12345政务服务便民热线及各类投诉平台作用，完善旅游投诉统一受理和快速响应机制，实现“一键投诉、一网通办、全程可视”。建立投诉信息公示制度，定期发布文旅市场投诉分析报告。</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（四）完善文旅服务标准</w:t>
      </w:r>
    </w:p>
    <w:p>
      <w:pPr>
        <w:adjustRightInd w:val="0"/>
        <w:snapToGrid w:val="0"/>
        <w:spacing w:before="120" w:beforeLines="50" w:after="120" w:afterLines="50" w:line="500" w:lineRule="exact"/>
        <w:ind w:firstLine="560" w:firstLineChars="200"/>
        <w:rPr>
          <w:rFonts w:hint="eastAsia" w:ascii="宋体" w:hAnsi="宋体" w:cs="宋体"/>
          <w:sz w:val="28"/>
          <w:szCs w:val="28"/>
        </w:rPr>
      </w:pPr>
      <w:r>
        <w:rPr>
          <w:rFonts w:hint="eastAsia" w:ascii="宋体" w:hAnsi="宋体" w:cs="宋体"/>
          <w:sz w:val="28"/>
          <w:szCs w:val="28"/>
        </w:rPr>
        <w:t>围绕旅游服务质量提升，完善文旅市场服务标准体系，推进国家标准、行业标准和地方标准制修订工作，推动旅游标准实施应用和试点工作，在旅行社、旅游饭店、景区、旅游驿站等领域培育一批标准化示范单位。</w:t>
      </w:r>
    </w:p>
    <w:p>
      <w:pPr>
        <w:adjustRightInd w:val="0"/>
        <w:snapToGrid w:val="0"/>
        <w:spacing w:before="120" w:beforeLines="50" w:after="120" w:afterLines="50" w:line="500" w:lineRule="atLeast"/>
        <w:ind w:firstLine="562" w:firstLineChars="200"/>
        <w:outlineLvl w:val="2"/>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二、加强市场监管</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（一）明确监管职责分工</w:t>
      </w:r>
    </w:p>
    <w:p>
      <w:pPr>
        <w:adjustRightInd w:val="0"/>
        <w:snapToGrid w:val="0"/>
        <w:spacing w:before="120" w:beforeLines="50" w:after="120" w:afterLines="50" w:line="500" w:lineRule="exact"/>
        <w:ind w:firstLine="560" w:firstLineChars="200"/>
        <w:rPr>
          <w:rFonts w:hint="eastAsia" w:ascii="宋体" w:hAnsi="宋体" w:cs="宋体"/>
          <w:sz w:val="28"/>
          <w:szCs w:val="28"/>
        </w:rPr>
      </w:pPr>
      <w:r>
        <w:rPr>
          <w:rFonts w:hint="eastAsia" w:ascii="宋体" w:hAnsi="宋体" w:cs="宋体"/>
          <w:sz w:val="28"/>
          <w:szCs w:val="28"/>
        </w:rPr>
        <w:t>按照“属地管理、部门联动、各司其职、齐抓共管”的原则，明确文旅、公安、交通运输、市场监管等部门在文旅市场综合监管中的职责分工，形成监管合力。稳步推进跨部门、跨区域联合检查和执法协作。建立文旅市场案件移交、信息通报制度，实现行政执法与刑事司法双向衔接。深化文化市场综合行政执法改革，统一执法证件、服装、文书、平台。</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（二）构建现代化监管体系</w:t>
      </w:r>
    </w:p>
    <w:p>
      <w:pPr>
        <w:adjustRightInd w:val="0"/>
        <w:snapToGrid w:val="0"/>
        <w:spacing w:before="120" w:beforeLines="50" w:after="120" w:afterLines="50" w:line="500" w:lineRule="exact"/>
        <w:ind w:firstLine="560" w:firstLineChars="200"/>
        <w:rPr>
          <w:rFonts w:hint="eastAsia" w:ascii="宋体" w:hAnsi="宋体" w:cs="宋体"/>
          <w:color w:val="FF0000"/>
          <w:sz w:val="28"/>
          <w:szCs w:val="28"/>
        </w:rPr>
      </w:pPr>
      <w:r>
        <w:rPr>
          <w:rFonts w:hint="eastAsia" w:ascii="宋体" w:hAnsi="宋体" w:cs="宋体"/>
          <w:sz w:val="28"/>
          <w:szCs w:val="28"/>
        </w:rPr>
        <w:t>对接交通、公安、税务、市场监管数据，实现企业画像、风险预警、执法指挥、信用评价“一张网”；推广AI“鹰眼”系统，对景区客流、价格、安全实现实时监测；推行电子合同、电子行程单、电子发票。完善文化旅游市场信用信息目录，建立企业信用档案；实施信用分级分类监管，对A级企业“无事不扰”，对D级企业重点检查。强化旅游团队信息填报和电子合同归集。利用大数据、人工智能等技术开展市场监测和风险预警，增强数字化监管效能。</w:t>
      </w:r>
    </w:p>
    <w:p>
      <w:pPr>
        <w:adjustRightInd w:val="0"/>
        <w:snapToGrid w:val="0"/>
        <w:spacing w:before="240" w:beforeLines="100" w:after="240" w:afterLines="100" w:line="500" w:lineRule="atLeast"/>
        <w:jc w:val="center"/>
        <w:outlineLvl w:val="1"/>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第八节  坚持保护与发展相得益彰</w:t>
      </w:r>
    </w:p>
    <w:p>
      <w:pPr>
        <w:adjustRightInd w:val="0"/>
        <w:snapToGrid w:val="0"/>
        <w:spacing w:before="120" w:beforeLines="50" w:after="120" w:afterLines="50" w:line="500" w:lineRule="atLeast"/>
        <w:ind w:firstLine="562" w:firstLineChars="200"/>
        <w:outlineLvl w:val="2"/>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一、发展生态旅游</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（一）落实生态保护红线</w:t>
      </w:r>
    </w:p>
    <w:p>
      <w:pPr>
        <w:adjustRightInd w:val="0"/>
        <w:snapToGrid w:val="0"/>
        <w:spacing w:before="120" w:beforeLines="50" w:after="120" w:afterLines="50" w:line="480" w:lineRule="atLeast"/>
        <w:ind w:firstLine="560" w:firstLineChars="200"/>
        <w:rPr>
          <w:rFonts w:hint="eastAsia" w:ascii="宋体" w:hAnsi="宋体" w:cs="宋体"/>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严格落实生态红线，加强项目全生命周期管理，探索以文旅为导向的生态价值实现途径。</w:t>
      </w:r>
      <w:r>
        <w:rPr>
          <w:rFonts w:hint="eastAsia" w:ascii="宋体" w:hAnsi="宋体" w:cs="宋体"/>
          <w:color w:val="000000" w:themeColor="text1"/>
          <w:sz w:val="28"/>
          <w:szCs w:val="28"/>
          <w14:textFill>
            <w14:solidFill>
              <w14:schemeClr w14:val="tx1"/>
            </w14:solidFill>
          </w14:textFill>
        </w:rPr>
        <w:t>禁止在核心保护区开展任何经营性文旅活动，一般控制区仅允许生态研学、科普教育等低影响、生态友好型项目。进一步规范各类冰雪项目和冰雪活动（运动）的审批监管，严格落实立项、环评、用地、用水、林草征占等审批监管程序。提高巴音布鲁克各类保护地项目环评等级，严禁简化审批流程。</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（二）强化生态旅游管控</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color w:val="000000" w:themeColor="text1"/>
          <w:sz w:val="28"/>
          <w:szCs w:val="28"/>
          <w14:textFill>
            <w14:solidFill>
              <w14:schemeClr w14:val="tx1"/>
            </w14:solidFill>
          </w14:textFill>
        </w:rPr>
        <w:t>坚持保护优先，</w:t>
      </w:r>
      <w:r>
        <w:rPr>
          <w:rFonts w:hint="eastAsia" w:ascii="宋体" w:hAnsi="宋体" w:cs="宋体"/>
          <w:sz w:val="28"/>
          <w:szCs w:val="28"/>
        </w:rPr>
        <w:t>落实自然保护地建设项目准入负面清单，严格控制人为活动干扰。</w:t>
      </w:r>
      <w:r>
        <w:rPr>
          <w:rFonts w:hint="eastAsia" w:ascii="宋体" w:hAnsi="宋体" w:cs="宋体"/>
          <w:color w:val="000000" w:themeColor="text1"/>
          <w:sz w:val="28"/>
          <w:szCs w:val="28"/>
          <w14:textFill>
            <w14:solidFill>
              <w14:schemeClr w14:val="tx1"/>
            </w14:solidFill>
          </w14:textFill>
        </w:rPr>
        <w:t>重点加强巴音布鲁克、塔里木胡杨、阿尔金山国家级自然保护区、博斯腾湖国家级风景名胜区等保护地的生态管控。落实《巴州冰川保护重点工作（征求意见稿）》要求，严控冰川周边探险、旅游开发等人为扰动，统筹冰川保育、生态修复与文旅发展。</w:t>
      </w:r>
      <w:r>
        <w:rPr>
          <w:rFonts w:hint="eastAsia" w:ascii="宋体" w:hAnsi="宋体" w:cs="宋体"/>
          <w:bCs/>
          <w:sz w:val="28"/>
          <w:szCs w:val="28"/>
        </w:rPr>
        <w:t>在各类自然保护地发展生态旅游，要加强生物多样性保护</w:t>
      </w:r>
      <w:r>
        <w:rPr>
          <w:rFonts w:hint="eastAsia" w:ascii="宋体" w:hAnsi="宋体" w:cs="宋体"/>
          <w:sz w:val="28"/>
          <w:szCs w:val="28"/>
        </w:rPr>
        <w:t>，严厉打击破坏野生动物资源违法犯罪行为。</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（三）实施生态影响评估</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对涉及生态保护红线的重大旅游规划、重大旅游项目实行生态影响预评估制度。</w:t>
      </w:r>
      <w:r>
        <w:rPr>
          <w:rFonts w:hint="eastAsia" w:ascii="宋体" w:hAnsi="宋体" w:cs="宋体"/>
          <w:bCs/>
          <w:sz w:val="28"/>
          <w:szCs w:val="28"/>
        </w:rPr>
        <w:t>建立专家评审机制，</w:t>
      </w:r>
      <w:r>
        <w:rPr>
          <w:rFonts w:hint="eastAsia" w:ascii="宋体" w:hAnsi="宋体" w:cs="宋体"/>
          <w:sz w:val="28"/>
          <w:szCs w:val="28"/>
        </w:rPr>
        <w:t>组建生态保护红线与生态旅游专家库，对重大旅游建设项目开展生态影响专项论证。建立第三方评估机制，确保评估结果科学公正。</w:t>
      </w:r>
    </w:p>
    <w:p>
      <w:pPr>
        <w:adjustRightInd w:val="0"/>
        <w:snapToGrid w:val="0"/>
        <w:spacing w:before="120" w:beforeLines="50" w:after="120" w:afterLines="50" w:line="500" w:lineRule="atLeast"/>
        <w:ind w:firstLine="562" w:firstLineChars="200"/>
        <w:outlineLvl w:val="2"/>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二、建设无废景区</w:t>
      </w:r>
    </w:p>
    <w:p>
      <w:pPr>
        <w:adjustRightInd w:val="0"/>
        <w:snapToGrid w:val="0"/>
        <w:spacing w:before="120" w:beforeLines="50" w:after="120" w:afterLines="50" w:line="480" w:lineRule="atLeast"/>
        <w:ind w:firstLine="562" w:firstLineChars="200"/>
        <w:outlineLvl w:val="3"/>
        <w:rPr>
          <w:rFonts w:hint="eastAsia" w:ascii="宋体" w:hAnsi="宋体" w:cs="宋体"/>
          <w:b/>
          <w:sz w:val="28"/>
          <w:szCs w:val="28"/>
        </w:rPr>
      </w:pPr>
      <w:r>
        <w:rPr>
          <w:rFonts w:hint="eastAsia" w:ascii="宋体" w:hAnsi="宋体" w:cs="宋体"/>
          <w:b/>
          <w:sz w:val="28"/>
          <w:szCs w:val="28"/>
        </w:rPr>
        <w:t>（一）开展文明旅游宣传教育</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bCs/>
          <w:sz w:val="28"/>
          <w:szCs w:val="28"/>
        </w:rPr>
        <w:t>营造游客参与氛围。</w:t>
      </w:r>
      <w:r>
        <w:rPr>
          <w:rFonts w:hint="eastAsia" w:ascii="宋体" w:hAnsi="宋体" w:cs="宋体"/>
          <w:sz w:val="28"/>
          <w:szCs w:val="28"/>
        </w:rPr>
        <w:t>常态化宣传景区垃圾分类知识，利用“世界环境日”“中国旅游日”等重要时间节点，组织开展主题宣传活动。在景区内部，通过宣传栏、电子显示屏、广播等多种形式，持续进行垃圾分类提示。</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（二）全面推进景区垃圾分类</w:t>
      </w:r>
    </w:p>
    <w:p>
      <w:pPr>
        <w:adjustRightInd w:val="0"/>
        <w:snapToGrid w:val="0"/>
        <w:spacing w:before="120" w:beforeLines="50" w:after="120" w:afterLines="50" w:line="480" w:lineRule="atLeast"/>
        <w:ind w:firstLine="560" w:firstLineChars="200"/>
        <w:rPr>
          <w:rFonts w:hint="eastAsia" w:ascii="宋体" w:hAnsi="宋体" w:cs="宋体"/>
          <w:sz w:val="28"/>
          <w:szCs w:val="28"/>
        </w:rPr>
      </w:pPr>
      <w:r>
        <w:rPr>
          <w:rFonts w:hint="eastAsia" w:ascii="宋体" w:hAnsi="宋体" w:cs="宋体"/>
          <w:sz w:val="28"/>
          <w:szCs w:val="28"/>
        </w:rPr>
        <w:t>在全州所有A级旅游景区，统一配置“可回收物、厨余垃圾、有害垃圾、其他垃圾”四分类收集容器，根据实际需要增加设置密度，并设置图文并茂的垃圾分类指引标识。各景区应制定垃圾分流分类管理细则，明确各类垃圾的收集、暂存和移交要求。与专业的回收企业合作，建立“定点收集、定时清运、定向处置”的分类收运机制。</w:t>
      </w:r>
    </w:p>
    <w:p>
      <w:pPr>
        <w:adjustRightInd w:val="0"/>
        <w:snapToGrid w:val="0"/>
        <w:spacing w:before="120" w:beforeLines="50" w:after="120" w:afterLines="50" w:line="500" w:lineRule="atLeast"/>
        <w:ind w:firstLine="562" w:firstLineChars="200"/>
        <w:outlineLvl w:val="2"/>
        <w:rPr>
          <w:rFonts w:hint="eastAsia" w:ascii="楷体_GB2312" w:hAnsi="楷体_GB2312" w:eastAsia="楷体_GB2312" w:cs="楷体_GB2312"/>
          <w:b/>
          <w:bCs/>
          <w:sz w:val="28"/>
          <w:szCs w:val="28"/>
        </w:rPr>
      </w:pPr>
      <w:bookmarkStart w:id="50" w:name="OLE_LINK84"/>
      <w:r>
        <w:rPr>
          <w:rFonts w:hint="eastAsia" w:ascii="楷体_GB2312" w:hAnsi="楷体_GB2312" w:eastAsia="楷体_GB2312" w:cs="楷体_GB2312"/>
          <w:b/>
          <w:bCs/>
          <w:sz w:val="28"/>
          <w:szCs w:val="28"/>
        </w:rPr>
        <w:t>三、践行绿色发展</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（一）倡导低碳出行</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bCs/>
          <w:sz w:val="28"/>
          <w:szCs w:val="28"/>
        </w:rPr>
        <w:t>构建绿色旅游交通网络</w:t>
      </w:r>
      <w:bookmarkEnd w:id="50"/>
      <w:r>
        <w:rPr>
          <w:rFonts w:hint="eastAsia" w:ascii="宋体" w:hAnsi="宋体" w:cs="宋体"/>
          <w:bCs/>
          <w:sz w:val="28"/>
          <w:szCs w:val="28"/>
        </w:rPr>
        <w:t>，</w:t>
      </w:r>
      <w:r>
        <w:rPr>
          <w:rFonts w:hint="eastAsia" w:ascii="宋体" w:hAnsi="宋体" w:cs="宋体"/>
          <w:sz w:val="28"/>
          <w:szCs w:val="28"/>
        </w:rPr>
        <w:t>在主要景区之间建设生态绿道，推广新能源旅游公共交通。在旅游景区、自驾驿站、酒店等完善充电基础设施，在旅游休闲街区、公交场站等完善共享单车设施。</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（二）推动绿色创建</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bCs/>
          <w:sz w:val="28"/>
          <w:szCs w:val="28"/>
        </w:rPr>
        <w:t>推进绿色景区创建</w:t>
      </w:r>
      <w:r>
        <w:rPr>
          <w:rFonts w:hint="eastAsia" w:ascii="宋体" w:hAnsi="宋体" w:cs="宋体"/>
          <w:sz w:val="28"/>
          <w:szCs w:val="28"/>
        </w:rPr>
        <w:t>，在博斯腾湖、巴音布鲁克草原、罗布人村寨等重点景区实施绿色景区创建行动，建设生态教育基地，传播生态文明理念。</w:t>
      </w:r>
      <w:r>
        <w:rPr>
          <w:rFonts w:hint="eastAsia" w:ascii="宋体" w:hAnsi="宋体" w:cs="宋体"/>
          <w:bCs/>
          <w:sz w:val="28"/>
          <w:szCs w:val="28"/>
        </w:rPr>
        <w:t>推进生态酒店建设。</w:t>
      </w:r>
      <w:r>
        <w:rPr>
          <w:rFonts w:hint="eastAsia" w:ascii="宋体" w:hAnsi="宋体" w:cs="宋体"/>
          <w:sz w:val="28"/>
          <w:szCs w:val="28"/>
        </w:rPr>
        <w:t>倡导绿色建筑标准，推行绿色运营管理，提供绿色餐饮服务，培育生态文化，增强游客环保意识。</w:t>
      </w:r>
    </w:p>
    <w:p>
      <w:pPr>
        <w:adjustRightInd w:val="0"/>
        <w:snapToGrid w:val="0"/>
        <w:spacing w:before="120" w:beforeLines="50" w:after="120" w:afterLines="50" w:line="500" w:lineRule="atLeast"/>
        <w:ind w:firstLine="562" w:firstLineChars="200"/>
        <w:outlineLvl w:val="3"/>
        <w:rPr>
          <w:rFonts w:hint="eastAsia" w:ascii="宋体" w:hAnsi="宋体" w:cs="宋体"/>
          <w:b/>
          <w:sz w:val="28"/>
          <w:szCs w:val="28"/>
        </w:rPr>
      </w:pPr>
      <w:r>
        <w:rPr>
          <w:rFonts w:hint="eastAsia" w:ascii="宋体" w:hAnsi="宋体" w:cs="宋体"/>
          <w:b/>
          <w:sz w:val="28"/>
          <w:szCs w:val="28"/>
        </w:rPr>
        <w:t>（三）建立绿色认证</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bCs/>
          <w:sz w:val="28"/>
          <w:szCs w:val="28"/>
        </w:rPr>
        <w:t>在文化旅游业引入绿色认证</w:t>
      </w:r>
      <w:r>
        <w:rPr>
          <w:rFonts w:hint="eastAsia" w:ascii="宋体" w:hAnsi="宋体" w:cs="宋体"/>
          <w:sz w:val="28"/>
          <w:szCs w:val="28"/>
        </w:rPr>
        <w:t>体系，保持标准的先进性和适用性。将认证结果与政策扶持、资金补助挂钩，在项目审批、土地使用等方面给予绿色认证单位优先权。培育绿色旅游示范单位，总结推广先进经验，发挥示范引领作用。</w:t>
      </w:r>
    </w:p>
    <w:p>
      <w:pPr>
        <w:adjustRightInd w:val="0"/>
        <w:snapToGrid w:val="0"/>
        <w:spacing w:before="360" w:beforeLines="150" w:after="360" w:afterLines="150" w:line="500" w:lineRule="atLeast"/>
        <w:jc w:val="center"/>
        <w:outlineLvl w:val="0"/>
        <w:rPr>
          <w:rFonts w:hint="eastAsia" w:ascii="黑体" w:hAnsi="黑体" w:eastAsia="黑体" w:cs="黑体"/>
          <w:sz w:val="28"/>
          <w:szCs w:val="28"/>
        </w:rPr>
      </w:pPr>
      <w:r>
        <w:rPr>
          <w:rFonts w:hint="eastAsia" w:ascii="黑体" w:hAnsi="黑体" w:eastAsia="黑体" w:cs="黑体"/>
          <w:sz w:val="28"/>
          <w:szCs w:val="28"/>
        </w:rPr>
        <w:t>第四章  保障体系与组织实施</w:t>
      </w:r>
    </w:p>
    <w:p>
      <w:pPr>
        <w:adjustRightInd w:val="0"/>
        <w:snapToGrid w:val="0"/>
        <w:spacing w:before="240" w:beforeLines="100" w:after="240" w:afterLines="100" w:line="500" w:lineRule="atLeast"/>
        <w:jc w:val="center"/>
        <w:outlineLvl w:val="1"/>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第一节  加强组织实施</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深化体制机制改革，推进文旅机构职能优化，建立文旅部门与相关单位在规划编制、资源开发、项目建设、营商环境、文旅统计等领域的常态化协同机制。创新文旅援疆模式，建立南疆、东疆文旅协同机制，强化与甘青藏跨省区协作。成立由州政府主要领导牵头的规划实施工作领导小组，每季度召开专题会议，协调解决规划实施中的重大问题。</w:t>
      </w:r>
    </w:p>
    <w:p>
      <w:pPr>
        <w:adjustRightInd w:val="0"/>
        <w:snapToGrid w:val="0"/>
        <w:spacing w:before="240" w:beforeLines="100" w:after="240" w:afterLines="100" w:line="500" w:lineRule="atLeast"/>
        <w:jc w:val="center"/>
        <w:outlineLvl w:val="1"/>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第二节  加大财税支持</w:t>
      </w:r>
    </w:p>
    <w:p>
      <w:pPr>
        <w:adjustRightInd w:val="0"/>
        <w:snapToGrid w:val="0"/>
        <w:spacing w:before="120" w:beforeLines="50" w:after="120" w:afterLines="50" w:line="500" w:lineRule="atLeast"/>
        <w:ind w:firstLine="560" w:firstLineChars="200"/>
        <w:rPr>
          <w:rFonts w:hint="eastAsia" w:ascii="宋体" w:hAnsi="宋体" w:cs="宋体" w:eastAsiaTheme="minorEastAsia"/>
          <w:sz w:val="28"/>
          <w:szCs w:val="28"/>
        </w:rPr>
      </w:pPr>
      <w:r>
        <w:rPr>
          <w:rFonts w:hint="eastAsia" w:ascii="宋体" w:hAnsi="宋体" w:cs="宋体" w:eastAsiaTheme="minorEastAsia"/>
          <w:sz w:val="28"/>
          <w:szCs w:val="28"/>
        </w:rPr>
        <w:t>健全财政投入机制，建立与财政承受能力相适应的政动态保障机制，继续支持文旅高质量发展，保障规划重点项目支出，统筹用好中央转移支付资金，向基层及资源禀赋突出的县（市）倾斜，积极争取并规范使用文旅产业发展专项资金，推动重大文旅项目实施。</w:t>
      </w:r>
    </w:p>
    <w:p>
      <w:pPr>
        <w:adjustRightInd w:val="0"/>
        <w:snapToGrid w:val="0"/>
        <w:spacing w:before="240" w:beforeLines="100" w:after="240" w:afterLines="100" w:line="500" w:lineRule="atLeast"/>
        <w:jc w:val="center"/>
        <w:outlineLvl w:val="1"/>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第三节  完善用地保障</w:t>
      </w:r>
    </w:p>
    <w:p>
      <w:pPr>
        <w:adjustRightInd w:val="0"/>
        <w:snapToGrid w:val="0"/>
        <w:spacing w:before="120" w:beforeLines="50" w:after="120" w:afterLines="50" w:line="480" w:lineRule="atLeast"/>
        <w:ind w:firstLine="560" w:firstLineChars="200"/>
        <w:rPr>
          <w:rFonts w:hint="eastAsia" w:ascii="宋体" w:hAnsi="宋体" w:cs="宋体" w:eastAsiaTheme="minorEastAsia"/>
          <w:sz w:val="28"/>
          <w:szCs w:val="28"/>
        </w:rPr>
      </w:pPr>
      <w:r>
        <w:rPr>
          <w:rFonts w:hint="eastAsia" w:ascii="宋体" w:hAnsi="宋体" w:cs="宋体" w:eastAsiaTheme="minorEastAsia"/>
          <w:sz w:val="28"/>
          <w:szCs w:val="28"/>
        </w:rPr>
        <w:t>建立“文旅项目用地需求清单”，强化文旅用地分类保障，对符合国土空间规划的重点文旅项目用地在年度土地利用计划指标予以优先保障，依法保障文旅项目合理用地需求。经营性文化事业单位如改制后不符合《划拨用地目录》的，严格以有偿方式供地。</w:t>
      </w:r>
    </w:p>
    <w:p>
      <w:pPr>
        <w:adjustRightInd w:val="0"/>
        <w:snapToGrid w:val="0"/>
        <w:spacing w:before="240" w:beforeLines="100" w:after="240" w:afterLines="100" w:line="500" w:lineRule="atLeast"/>
        <w:jc w:val="center"/>
        <w:outlineLvl w:val="1"/>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第四节  强化人才支撑</w:t>
      </w:r>
    </w:p>
    <w:p>
      <w:pPr>
        <w:adjustRightInd w:val="0"/>
        <w:snapToGrid w:val="0"/>
        <w:spacing w:before="120" w:beforeLines="50" w:after="120" w:afterLines="50" w:line="500" w:lineRule="atLeast"/>
        <w:ind w:firstLine="560" w:firstLineChars="200"/>
        <w:rPr>
          <w:rFonts w:hint="eastAsia" w:ascii="宋体" w:hAnsi="宋体" w:cs="宋体" w:eastAsiaTheme="minorEastAsia"/>
          <w:sz w:val="28"/>
          <w:szCs w:val="28"/>
        </w:rPr>
      </w:pPr>
      <w:r>
        <w:rPr>
          <w:rFonts w:hint="eastAsia" w:ascii="宋体" w:hAnsi="宋体" w:cs="宋体" w:eastAsiaTheme="minorEastAsia"/>
          <w:sz w:val="28"/>
          <w:szCs w:val="28"/>
        </w:rPr>
        <w:t>健全人才培养机制，与区内外高校合作设立文旅人才培养基地，重点培养文化创意、智慧旅游、遗产保护等领域专业人才；实施“文旅技能提升工程”，定期开展导游、民宿运营等从业人员培训。完善人才引进政策，针对高层次文旅人才、紧缺技术人才制定专项引进计划，落实协议工资、项目工资等激励政策，所需绩效工资总量单列管理；推行市场化的专业人员聘任制，对引进的顶尖人才提供住房、子女教育等配套服务。</w:t>
      </w:r>
    </w:p>
    <w:p>
      <w:pPr>
        <w:adjustRightInd w:val="0"/>
        <w:snapToGrid w:val="0"/>
        <w:spacing w:before="240" w:beforeLines="100" w:after="240" w:afterLines="100" w:line="500" w:lineRule="atLeast"/>
        <w:jc w:val="center"/>
        <w:outlineLvl w:val="1"/>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第五节  加强规划衔接</w:t>
      </w:r>
    </w:p>
    <w:p>
      <w:pPr>
        <w:adjustRightInd w:val="0"/>
        <w:snapToGrid w:val="0"/>
        <w:spacing w:before="120" w:beforeLines="50" w:after="120" w:afterLines="50" w:line="500" w:lineRule="atLeast"/>
        <w:ind w:firstLine="560" w:firstLineChars="200"/>
        <w:rPr>
          <w:rFonts w:hint="eastAsia" w:ascii="宋体" w:hAnsi="宋体" w:cs="宋体"/>
          <w:sz w:val="28"/>
          <w:szCs w:val="28"/>
        </w:rPr>
      </w:pPr>
      <w:r>
        <w:rPr>
          <w:rFonts w:hint="eastAsia" w:ascii="宋体" w:hAnsi="宋体" w:cs="宋体"/>
          <w:sz w:val="28"/>
          <w:szCs w:val="28"/>
        </w:rPr>
        <w:t>加强与国家、自治区“十五五”文旅规划的衔接，确保巴州发展定位、重点任务与上级规划相契合，主动对接自治区文旅厅争取政策、资金倾斜，确保规划方向与上位部署一致；推进与林草、自然资源、生态、农业农村、交通等主要部门的规划协同，指导各县（市）文旅规划与州级规划无缝对接。</w:t>
      </w:r>
    </w:p>
    <w:p>
      <w:pPr>
        <w:adjustRightInd w:val="0"/>
        <w:snapToGrid w:val="0"/>
        <w:spacing w:before="240" w:beforeLines="100" w:after="240" w:afterLines="100" w:line="500" w:lineRule="atLeast"/>
        <w:jc w:val="center"/>
        <w:outlineLvl w:val="1"/>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第六节  严格规划评估</w:t>
      </w:r>
    </w:p>
    <w:p>
      <w:pPr>
        <w:adjustRightInd w:val="0"/>
        <w:snapToGrid w:val="0"/>
        <w:spacing w:before="120" w:beforeLines="50" w:after="120" w:afterLines="50" w:line="500" w:lineRule="atLeast"/>
        <w:ind w:firstLine="560" w:firstLineChars="200"/>
      </w:pPr>
      <w:r>
        <w:rPr>
          <w:rFonts w:hint="eastAsia" w:ascii="宋体" w:hAnsi="宋体" w:cs="宋体"/>
          <w:sz w:val="28"/>
          <w:szCs w:val="28"/>
        </w:rPr>
        <w:t>扎实推进规划实施，分解细化年度实施计划，加强对8个关键指标的统计监测，建立“年度监测+中期评估+总结评估”三级评估体系。引入第三方机构对规划指标、重大项目、生态保护任务等进行绩效评价，结果作为考核和财政支持的重要依据。</w:t>
      </w:r>
    </w:p>
    <w:sectPr>
      <w:headerReference r:id="rId7" w:type="default"/>
      <w:footerReference r:id="rId9" w:type="default"/>
      <w:headerReference r:id="rId8" w:type="even"/>
      <w:footerReference r:id="rId10" w:type="even"/>
      <w:pgSz w:w="11907" w:h="16840"/>
      <w:pgMar w:top="1984" w:right="1417" w:bottom="1701" w:left="1417" w:header="1134" w:footer="907" w:gutter="0"/>
      <w:cols w:space="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Droid Sans Fallback">
    <w:panose1 w:val="020B0502000000000001"/>
    <w:charset w:val="86"/>
    <w:family w:val="auto"/>
    <w:pitch w:val="default"/>
    <w:sig w:usb0="910002FF" w:usb1="2BDFFCFB" w:usb2="00000036" w:usb3="00000000" w:csb0="203F01FF"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Theme="minorEastAsia" w:hAnsiTheme="minorEastAsia" w:eastAsiaTheme="minorEastAsia"/>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Theme="minorEastAsia" w:hAnsiTheme="minorEastAsia" w:eastAsiaTheme="minorEastAsia"/>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0317091"/>
    </w:sdtPr>
    <w:sdtContent>
      <w:p>
        <w:pPr>
          <w:pStyle w:val="8"/>
          <w:jc w:val="cente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97</w:t>
        </w:r>
        <w:r>
          <w:rPr>
            <w:sz w:val="24"/>
            <w:szCs w:val="24"/>
          </w:rPr>
          <w:fldChar w:fldCharType="end"/>
        </w:r>
      </w:p>
    </w:sdtContent>
  </w:sdt>
  <w:p>
    <w:pPr>
      <w:pStyle w:val="8"/>
      <w:rPr>
        <w:rFonts w:hint="eastAsia" w:asciiTheme="minorEastAsia" w:hAnsiTheme="minorEastAsia" w:eastAsiaTheme="minorEastAsia"/>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6585283"/>
    </w:sdtPr>
    <w:sdtContent>
      <w:p>
        <w:pPr>
          <w:pStyle w:val="8"/>
          <w:jc w:val="cente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98</w:t>
        </w:r>
        <w:r>
          <w:rPr>
            <w:sz w:val="24"/>
            <w:szCs w:val="24"/>
          </w:rPr>
          <w:fldChar w:fldCharType="end"/>
        </w:r>
      </w:p>
    </w:sdtContent>
  </w:sdt>
  <w:p>
    <w:pPr>
      <w:pStyle w:val="8"/>
      <w:rPr>
        <w:rFonts w:hint="eastAsia" w:asciiTheme="minorEastAsia" w:hAnsiTheme="minorEastAsia" w:eastAsiaTheme="minorEastAsia"/>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92"/>
        <w:tab w:val="clear" w:pos="4153"/>
      </w:tabs>
      <w:jc w:val="right"/>
      <w:rPr>
        <w:rFonts w:hint="eastAsia" w:ascii="楷体_GB2312" w:hAnsi="楷体_GB2312" w:eastAsia="楷体_GB2312" w:cs="楷体_GB2312"/>
        <w:sz w:val="21"/>
        <w:szCs w:val="21"/>
      </w:rPr>
    </w:pPr>
    <w:r>
      <w:rPr>
        <w:rFonts w:hint="eastAsia" w:ascii="楷体_GB2312" w:hAnsi="楷体_GB2312" w:eastAsia="楷体_GB2312" w:cs="楷体_GB2312"/>
        <w:sz w:val="21"/>
        <w:szCs w:val="21"/>
      </w:rPr>
      <w:t>巴音郭楞蒙古自治州“十五五”文化和旅游暨产业集群发展规划</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rPr>
        <w:rFonts w:hint="eastAsia" w:ascii="楷体_GB2312" w:hAnsi="楷体_GB2312" w:eastAsia="楷体_GB2312" w:cs="楷体_GB2312"/>
        <w:sz w:val="21"/>
        <w:szCs w:val="21"/>
      </w:rPr>
    </w:pPr>
    <w:r>
      <w:rPr>
        <w:rFonts w:hint="eastAsia" w:ascii="楷体_GB2312" w:hAnsi="楷体_GB2312" w:eastAsia="楷体_GB2312" w:cs="楷体_GB2312"/>
        <w:sz w:val="21"/>
        <w:szCs w:val="21"/>
      </w:rPr>
      <w:t>巴音郭楞蒙古自治州“十五五”文化和旅游暨产业集群发展规划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true"/>
  <w:bordersDoNotSurroundFooter w:val="true"/>
  <w:documentProtection w:enforcement="0"/>
  <w:defaultTabStop w:val="420"/>
  <w:evenAndOddHeaders w:val="true"/>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VmNDIzOWIyZTU0NmYwZjUyYjNjZmIxY2MzZTVmNjIifQ=="/>
  </w:docVars>
  <w:rsids>
    <w:rsidRoot w:val="0029092D"/>
    <w:rsid w:val="000000D9"/>
    <w:rsid w:val="000007B6"/>
    <w:rsid w:val="000007E1"/>
    <w:rsid w:val="000008CA"/>
    <w:rsid w:val="00002F9E"/>
    <w:rsid w:val="00004261"/>
    <w:rsid w:val="000046CC"/>
    <w:rsid w:val="00005676"/>
    <w:rsid w:val="000059BA"/>
    <w:rsid w:val="0000633A"/>
    <w:rsid w:val="00006474"/>
    <w:rsid w:val="00006E58"/>
    <w:rsid w:val="0001074A"/>
    <w:rsid w:val="00011D68"/>
    <w:rsid w:val="0001441F"/>
    <w:rsid w:val="00014800"/>
    <w:rsid w:val="00014984"/>
    <w:rsid w:val="000165E5"/>
    <w:rsid w:val="0001664C"/>
    <w:rsid w:val="00020E5E"/>
    <w:rsid w:val="00021152"/>
    <w:rsid w:val="0002213A"/>
    <w:rsid w:val="00022802"/>
    <w:rsid w:val="00022B02"/>
    <w:rsid w:val="0002375B"/>
    <w:rsid w:val="00023862"/>
    <w:rsid w:val="000244AB"/>
    <w:rsid w:val="00025273"/>
    <w:rsid w:val="000252A6"/>
    <w:rsid w:val="000254F5"/>
    <w:rsid w:val="00025965"/>
    <w:rsid w:val="00026421"/>
    <w:rsid w:val="00026A3A"/>
    <w:rsid w:val="000270F0"/>
    <w:rsid w:val="000273E4"/>
    <w:rsid w:val="000302FA"/>
    <w:rsid w:val="000308D6"/>
    <w:rsid w:val="00031169"/>
    <w:rsid w:val="000319E5"/>
    <w:rsid w:val="0003273D"/>
    <w:rsid w:val="00032EC0"/>
    <w:rsid w:val="00033232"/>
    <w:rsid w:val="00033558"/>
    <w:rsid w:val="000359A1"/>
    <w:rsid w:val="0003640A"/>
    <w:rsid w:val="00036EAA"/>
    <w:rsid w:val="0003730E"/>
    <w:rsid w:val="00041DFA"/>
    <w:rsid w:val="00042172"/>
    <w:rsid w:val="000429DB"/>
    <w:rsid w:val="00043B40"/>
    <w:rsid w:val="00043EB9"/>
    <w:rsid w:val="00044225"/>
    <w:rsid w:val="00044B9C"/>
    <w:rsid w:val="00045863"/>
    <w:rsid w:val="000458C2"/>
    <w:rsid w:val="00046095"/>
    <w:rsid w:val="000471B6"/>
    <w:rsid w:val="00047739"/>
    <w:rsid w:val="000501F5"/>
    <w:rsid w:val="00050C00"/>
    <w:rsid w:val="00051B7A"/>
    <w:rsid w:val="0005217A"/>
    <w:rsid w:val="0005251C"/>
    <w:rsid w:val="000528F7"/>
    <w:rsid w:val="00052B11"/>
    <w:rsid w:val="00053EE7"/>
    <w:rsid w:val="00054568"/>
    <w:rsid w:val="00054E1F"/>
    <w:rsid w:val="00055959"/>
    <w:rsid w:val="00056133"/>
    <w:rsid w:val="00056505"/>
    <w:rsid w:val="0005758B"/>
    <w:rsid w:val="00057717"/>
    <w:rsid w:val="00057F92"/>
    <w:rsid w:val="00060C6A"/>
    <w:rsid w:val="00061EE7"/>
    <w:rsid w:val="0006278A"/>
    <w:rsid w:val="00063169"/>
    <w:rsid w:val="00063EAC"/>
    <w:rsid w:val="0006762F"/>
    <w:rsid w:val="00067CBA"/>
    <w:rsid w:val="00070484"/>
    <w:rsid w:val="00071ECE"/>
    <w:rsid w:val="000737ED"/>
    <w:rsid w:val="000744F9"/>
    <w:rsid w:val="000746A8"/>
    <w:rsid w:val="00076374"/>
    <w:rsid w:val="000773CE"/>
    <w:rsid w:val="00080592"/>
    <w:rsid w:val="00080B7A"/>
    <w:rsid w:val="00082391"/>
    <w:rsid w:val="000827B8"/>
    <w:rsid w:val="000837ED"/>
    <w:rsid w:val="00085EC9"/>
    <w:rsid w:val="0008620F"/>
    <w:rsid w:val="00086F95"/>
    <w:rsid w:val="000877CB"/>
    <w:rsid w:val="00087ACD"/>
    <w:rsid w:val="00087CDD"/>
    <w:rsid w:val="00090D22"/>
    <w:rsid w:val="00090D3C"/>
    <w:rsid w:val="00090FB7"/>
    <w:rsid w:val="0009290A"/>
    <w:rsid w:val="0009417D"/>
    <w:rsid w:val="000941A0"/>
    <w:rsid w:val="0009484F"/>
    <w:rsid w:val="00095436"/>
    <w:rsid w:val="00095AFF"/>
    <w:rsid w:val="000962E7"/>
    <w:rsid w:val="00096853"/>
    <w:rsid w:val="000A06F9"/>
    <w:rsid w:val="000A0C76"/>
    <w:rsid w:val="000A101E"/>
    <w:rsid w:val="000A110F"/>
    <w:rsid w:val="000A17ED"/>
    <w:rsid w:val="000A29B4"/>
    <w:rsid w:val="000A3292"/>
    <w:rsid w:val="000A3F74"/>
    <w:rsid w:val="000A543E"/>
    <w:rsid w:val="000A5B67"/>
    <w:rsid w:val="000B04AA"/>
    <w:rsid w:val="000B06B5"/>
    <w:rsid w:val="000B22A4"/>
    <w:rsid w:val="000B32D3"/>
    <w:rsid w:val="000B3820"/>
    <w:rsid w:val="000B3FFD"/>
    <w:rsid w:val="000B413A"/>
    <w:rsid w:val="000B4195"/>
    <w:rsid w:val="000B4962"/>
    <w:rsid w:val="000B511E"/>
    <w:rsid w:val="000B5201"/>
    <w:rsid w:val="000B5A12"/>
    <w:rsid w:val="000B63BC"/>
    <w:rsid w:val="000B6625"/>
    <w:rsid w:val="000C05DD"/>
    <w:rsid w:val="000C23C6"/>
    <w:rsid w:val="000C29EF"/>
    <w:rsid w:val="000C2A71"/>
    <w:rsid w:val="000C491F"/>
    <w:rsid w:val="000C4F18"/>
    <w:rsid w:val="000C5331"/>
    <w:rsid w:val="000C7036"/>
    <w:rsid w:val="000D0767"/>
    <w:rsid w:val="000D08D6"/>
    <w:rsid w:val="000D24A0"/>
    <w:rsid w:val="000D2805"/>
    <w:rsid w:val="000D3245"/>
    <w:rsid w:val="000D338E"/>
    <w:rsid w:val="000D3A02"/>
    <w:rsid w:val="000D4091"/>
    <w:rsid w:val="000D5AEB"/>
    <w:rsid w:val="000D728D"/>
    <w:rsid w:val="000E0DC8"/>
    <w:rsid w:val="000E185D"/>
    <w:rsid w:val="000E1B86"/>
    <w:rsid w:val="000E2589"/>
    <w:rsid w:val="000E3E8C"/>
    <w:rsid w:val="000E4199"/>
    <w:rsid w:val="000E4DF2"/>
    <w:rsid w:val="000E6071"/>
    <w:rsid w:val="000E6FAA"/>
    <w:rsid w:val="000F1438"/>
    <w:rsid w:val="000F24E3"/>
    <w:rsid w:val="000F2FB3"/>
    <w:rsid w:val="000F33CB"/>
    <w:rsid w:val="000F3DD5"/>
    <w:rsid w:val="000F3E29"/>
    <w:rsid w:val="000F468D"/>
    <w:rsid w:val="000F4A6E"/>
    <w:rsid w:val="000F4DCB"/>
    <w:rsid w:val="000F4EE4"/>
    <w:rsid w:val="000F547C"/>
    <w:rsid w:val="000F59C5"/>
    <w:rsid w:val="000F5CE3"/>
    <w:rsid w:val="000F5FA2"/>
    <w:rsid w:val="000F7433"/>
    <w:rsid w:val="000F7679"/>
    <w:rsid w:val="00101D8F"/>
    <w:rsid w:val="001035D4"/>
    <w:rsid w:val="001056E8"/>
    <w:rsid w:val="001058B0"/>
    <w:rsid w:val="00106EA1"/>
    <w:rsid w:val="00106EE3"/>
    <w:rsid w:val="00107E3F"/>
    <w:rsid w:val="001100A6"/>
    <w:rsid w:val="00111603"/>
    <w:rsid w:val="00111650"/>
    <w:rsid w:val="00114CBB"/>
    <w:rsid w:val="00115096"/>
    <w:rsid w:val="0011526A"/>
    <w:rsid w:val="00115785"/>
    <w:rsid w:val="0011589A"/>
    <w:rsid w:val="00115B51"/>
    <w:rsid w:val="0011643B"/>
    <w:rsid w:val="00116607"/>
    <w:rsid w:val="00116839"/>
    <w:rsid w:val="00116B00"/>
    <w:rsid w:val="00120194"/>
    <w:rsid w:val="00120ABD"/>
    <w:rsid w:val="00120B7A"/>
    <w:rsid w:val="00121861"/>
    <w:rsid w:val="0012211E"/>
    <w:rsid w:val="00122A69"/>
    <w:rsid w:val="00123612"/>
    <w:rsid w:val="00123A76"/>
    <w:rsid w:val="00124853"/>
    <w:rsid w:val="00124C76"/>
    <w:rsid w:val="00125B67"/>
    <w:rsid w:val="00125EBE"/>
    <w:rsid w:val="00126A0A"/>
    <w:rsid w:val="001309FC"/>
    <w:rsid w:val="001316BC"/>
    <w:rsid w:val="00131C59"/>
    <w:rsid w:val="00131DAF"/>
    <w:rsid w:val="00137FE2"/>
    <w:rsid w:val="00140654"/>
    <w:rsid w:val="00140683"/>
    <w:rsid w:val="00140CA9"/>
    <w:rsid w:val="00141885"/>
    <w:rsid w:val="001443B5"/>
    <w:rsid w:val="00144B7D"/>
    <w:rsid w:val="001452C2"/>
    <w:rsid w:val="00146757"/>
    <w:rsid w:val="00146E02"/>
    <w:rsid w:val="00147BC4"/>
    <w:rsid w:val="00147EB4"/>
    <w:rsid w:val="00150C90"/>
    <w:rsid w:val="00151BA7"/>
    <w:rsid w:val="00152B3B"/>
    <w:rsid w:val="00153252"/>
    <w:rsid w:val="001534BA"/>
    <w:rsid w:val="001536AE"/>
    <w:rsid w:val="0015462B"/>
    <w:rsid w:val="0015479D"/>
    <w:rsid w:val="00154CDF"/>
    <w:rsid w:val="0015598D"/>
    <w:rsid w:val="00156897"/>
    <w:rsid w:val="00156E3A"/>
    <w:rsid w:val="00161755"/>
    <w:rsid w:val="00161838"/>
    <w:rsid w:val="00161BB1"/>
    <w:rsid w:val="00162924"/>
    <w:rsid w:val="00162ADB"/>
    <w:rsid w:val="00162DB3"/>
    <w:rsid w:val="00162F64"/>
    <w:rsid w:val="00163035"/>
    <w:rsid w:val="00163DF4"/>
    <w:rsid w:val="00163E84"/>
    <w:rsid w:val="0016450F"/>
    <w:rsid w:val="00164D66"/>
    <w:rsid w:val="001654AD"/>
    <w:rsid w:val="00165767"/>
    <w:rsid w:val="00166A23"/>
    <w:rsid w:val="00167220"/>
    <w:rsid w:val="00170D43"/>
    <w:rsid w:val="00171748"/>
    <w:rsid w:val="00173059"/>
    <w:rsid w:val="00174241"/>
    <w:rsid w:val="001759F4"/>
    <w:rsid w:val="00175A99"/>
    <w:rsid w:val="001767A2"/>
    <w:rsid w:val="001777BF"/>
    <w:rsid w:val="001800FC"/>
    <w:rsid w:val="00180513"/>
    <w:rsid w:val="00181794"/>
    <w:rsid w:val="00181BB5"/>
    <w:rsid w:val="00183BAC"/>
    <w:rsid w:val="00184E6B"/>
    <w:rsid w:val="00186309"/>
    <w:rsid w:val="00187484"/>
    <w:rsid w:val="001876E5"/>
    <w:rsid w:val="00187E92"/>
    <w:rsid w:val="00190173"/>
    <w:rsid w:val="001901BC"/>
    <w:rsid w:val="00190D0F"/>
    <w:rsid w:val="0019115A"/>
    <w:rsid w:val="00192234"/>
    <w:rsid w:val="001939F6"/>
    <w:rsid w:val="00194FBB"/>
    <w:rsid w:val="00195249"/>
    <w:rsid w:val="00195EAA"/>
    <w:rsid w:val="0019781C"/>
    <w:rsid w:val="00197CB9"/>
    <w:rsid w:val="001A0137"/>
    <w:rsid w:val="001A115F"/>
    <w:rsid w:val="001A2097"/>
    <w:rsid w:val="001A243E"/>
    <w:rsid w:val="001A3EE5"/>
    <w:rsid w:val="001A4CF7"/>
    <w:rsid w:val="001A663C"/>
    <w:rsid w:val="001B19DC"/>
    <w:rsid w:val="001B1A88"/>
    <w:rsid w:val="001B24B1"/>
    <w:rsid w:val="001B360C"/>
    <w:rsid w:val="001B3BBB"/>
    <w:rsid w:val="001B42D5"/>
    <w:rsid w:val="001B444D"/>
    <w:rsid w:val="001B67A2"/>
    <w:rsid w:val="001B781A"/>
    <w:rsid w:val="001B7A31"/>
    <w:rsid w:val="001B7E6D"/>
    <w:rsid w:val="001C0DCB"/>
    <w:rsid w:val="001C13AF"/>
    <w:rsid w:val="001C1ABA"/>
    <w:rsid w:val="001C30AF"/>
    <w:rsid w:val="001C45C5"/>
    <w:rsid w:val="001C45FC"/>
    <w:rsid w:val="001C4CBB"/>
    <w:rsid w:val="001C5D58"/>
    <w:rsid w:val="001C7703"/>
    <w:rsid w:val="001C7E43"/>
    <w:rsid w:val="001C7F95"/>
    <w:rsid w:val="001D1F3C"/>
    <w:rsid w:val="001D201C"/>
    <w:rsid w:val="001D243B"/>
    <w:rsid w:val="001D3AD4"/>
    <w:rsid w:val="001D4011"/>
    <w:rsid w:val="001D4333"/>
    <w:rsid w:val="001D481D"/>
    <w:rsid w:val="001D5B1B"/>
    <w:rsid w:val="001D6B0A"/>
    <w:rsid w:val="001D7452"/>
    <w:rsid w:val="001D793A"/>
    <w:rsid w:val="001E14CD"/>
    <w:rsid w:val="001E2A51"/>
    <w:rsid w:val="001E4BEA"/>
    <w:rsid w:val="001E5047"/>
    <w:rsid w:val="001E5A5E"/>
    <w:rsid w:val="001E5E1E"/>
    <w:rsid w:val="001E6073"/>
    <w:rsid w:val="001E6AAF"/>
    <w:rsid w:val="001F0AC8"/>
    <w:rsid w:val="001F12F8"/>
    <w:rsid w:val="001F279C"/>
    <w:rsid w:val="001F378A"/>
    <w:rsid w:val="001F3E6B"/>
    <w:rsid w:val="001F4BCD"/>
    <w:rsid w:val="001F5E24"/>
    <w:rsid w:val="001F63F4"/>
    <w:rsid w:val="001F6AFB"/>
    <w:rsid w:val="001F73C3"/>
    <w:rsid w:val="00200886"/>
    <w:rsid w:val="00201EB9"/>
    <w:rsid w:val="0020209E"/>
    <w:rsid w:val="0020287E"/>
    <w:rsid w:val="00202B03"/>
    <w:rsid w:val="00202BF0"/>
    <w:rsid w:val="00202E1C"/>
    <w:rsid w:val="00203C37"/>
    <w:rsid w:val="00204B41"/>
    <w:rsid w:val="00205DCD"/>
    <w:rsid w:val="00206081"/>
    <w:rsid w:val="00206371"/>
    <w:rsid w:val="002063DC"/>
    <w:rsid w:val="002063E0"/>
    <w:rsid w:val="0020682C"/>
    <w:rsid w:val="00210A1D"/>
    <w:rsid w:val="00211621"/>
    <w:rsid w:val="00214178"/>
    <w:rsid w:val="0021487A"/>
    <w:rsid w:val="002149C9"/>
    <w:rsid w:val="002149CA"/>
    <w:rsid w:val="002152C7"/>
    <w:rsid w:val="0021589E"/>
    <w:rsid w:val="00216D37"/>
    <w:rsid w:val="00221454"/>
    <w:rsid w:val="0022295F"/>
    <w:rsid w:val="00222EBD"/>
    <w:rsid w:val="002231FE"/>
    <w:rsid w:val="00224133"/>
    <w:rsid w:val="0022416D"/>
    <w:rsid w:val="002242DE"/>
    <w:rsid w:val="00224589"/>
    <w:rsid w:val="0022564D"/>
    <w:rsid w:val="00225F13"/>
    <w:rsid w:val="0023009A"/>
    <w:rsid w:val="0023023E"/>
    <w:rsid w:val="0023128C"/>
    <w:rsid w:val="002315A7"/>
    <w:rsid w:val="00231D48"/>
    <w:rsid w:val="002324AF"/>
    <w:rsid w:val="002334CC"/>
    <w:rsid w:val="0023351B"/>
    <w:rsid w:val="002344CF"/>
    <w:rsid w:val="0023466B"/>
    <w:rsid w:val="00234B34"/>
    <w:rsid w:val="00234ED8"/>
    <w:rsid w:val="00235094"/>
    <w:rsid w:val="002401A5"/>
    <w:rsid w:val="0024185C"/>
    <w:rsid w:val="00241C10"/>
    <w:rsid w:val="00243739"/>
    <w:rsid w:val="00245ABC"/>
    <w:rsid w:val="00246D20"/>
    <w:rsid w:val="00246F13"/>
    <w:rsid w:val="00246FF0"/>
    <w:rsid w:val="002471D0"/>
    <w:rsid w:val="002472C6"/>
    <w:rsid w:val="0025055C"/>
    <w:rsid w:val="00250B27"/>
    <w:rsid w:val="00250F1C"/>
    <w:rsid w:val="00250FF7"/>
    <w:rsid w:val="002519B9"/>
    <w:rsid w:val="00252391"/>
    <w:rsid w:val="00253BA0"/>
    <w:rsid w:val="0025408B"/>
    <w:rsid w:val="0025412D"/>
    <w:rsid w:val="00254F23"/>
    <w:rsid w:val="00255D56"/>
    <w:rsid w:val="002567A5"/>
    <w:rsid w:val="002568D9"/>
    <w:rsid w:val="00260915"/>
    <w:rsid w:val="00261A62"/>
    <w:rsid w:val="0026459B"/>
    <w:rsid w:val="00264773"/>
    <w:rsid w:val="0026553E"/>
    <w:rsid w:val="00265F5F"/>
    <w:rsid w:val="00267E87"/>
    <w:rsid w:val="00273BF5"/>
    <w:rsid w:val="00275F6E"/>
    <w:rsid w:val="00276A31"/>
    <w:rsid w:val="00276B69"/>
    <w:rsid w:val="00276D2F"/>
    <w:rsid w:val="00277015"/>
    <w:rsid w:val="00277944"/>
    <w:rsid w:val="00277E60"/>
    <w:rsid w:val="0028058A"/>
    <w:rsid w:val="00281716"/>
    <w:rsid w:val="00282467"/>
    <w:rsid w:val="0028252C"/>
    <w:rsid w:val="00282BD3"/>
    <w:rsid w:val="0028378F"/>
    <w:rsid w:val="00283B72"/>
    <w:rsid w:val="00283C05"/>
    <w:rsid w:val="002842DB"/>
    <w:rsid w:val="00284330"/>
    <w:rsid w:val="002845AC"/>
    <w:rsid w:val="00284C17"/>
    <w:rsid w:val="00285634"/>
    <w:rsid w:val="002866C0"/>
    <w:rsid w:val="00287DCB"/>
    <w:rsid w:val="0029092D"/>
    <w:rsid w:val="00292301"/>
    <w:rsid w:val="00292BAB"/>
    <w:rsid w:val="002930F2"/>
    <w:rsid w:val="002938A7"/>
    <w:rsid w:val="0029538C"/>
    <w:rsid w:val="002955D3"/>
    <w:rsid w:val="00295E96"/>
    <w:rsid w:val="00295FEE"/>
    <w:rsid w:val="00296A74"/>
    <w:rsid w:val="00296EA0"/>
    <w:rsid w:val="002971CC"/>
    <w:rsid w:val="0029723A"/>
    <w:rsid w:val="002A0C31"/>
    <w:rsid w:val="002A2606"/>
    <w:rsid w:val="002A27E8"/>
    <w:rsid w:val="002A3504"/>
    <w:rsid w:val="002A440F"/>
    <w:rsid w:val="002A58FC"/>
    <w:rsid w:val="002A6FC2"/>
    <w:rsid w:val="002A7A50"/>
    <w:rsid w:val="002B1039"/>
    <w:rsid w:val="002B1A6E"/>
    <w:rsid w:val="002B24B3"/>
    <w:rsid w:val="002B276C"/>
    <w:rsid w:val="002B46FD"/>
    <w:rsid w:val="002B52AF"/>
    <w:rsid w:val="002B5CE4"/>
    <w:rsid w:val="002B6EE6"/>
    <w:rsid w:val="002B6FD7"/>
    <w:rsid w:val="002B7DC0"/>
    <w:rsid w:val="002B7F81"/>
    <w:rsid w:val="002C00B3"/>
    <w:rsid w:val="002C0161"/>
    <w:rsid w:val="002C06E3"/>
    <w:rsid w:val="002C0E82"/>
    <w:rsid w:val="002C1098"/>
    <w:rsid w:val="002C15F3"/>
    <w:rsid w:val="002C1754"/>
    <w:rsid w:val="002C1756"/>
    <w:rsid w:val="002C1C67"/>
    <w:rsid w:val="002C3138"/>
    <w:rsid w:val="002C3153"/>
    <w:rsid w:val="002C423E"/>
    <w:rsid w:val="002C5B36"/>
    <w:rsid w:val="002C5F1D"/>
    <w:rsid w:val="002C6FD2"/>
    <w:rsid w:val="002C7CE2"/>
    <w:rsid w:val="002C7DAE"/>
    <w:rsid w:val="002D0DC0"/>
    <w:rsid w:val="002D130B"/>
    <w:rsid w:val="002D1E69"/>
    <w:rsid w:val="002D32E8"/>
    <w:rsid w:val="002D3BE5"/>
    <w:rsid w:val="002D3DDA"/>
    <w:rsid w:val="002D3E49"/>
    <w:rsid w:val="002D4783"/>
    <w:rsid w:val="002D58AB"/>
    <w:rsid w:val="002D6BB1"/>
    <w:rsid w:val="002D7894"/>
    <w:rsid w:val="002E0900"/>
    <w:rsid w:val="002E1C29"/>
    <w:rsid w:val="002E1F61"/>
    <w:rsid w:val="002E3A34"/>
    <w:rsid w:val="002E41CF"/>
    <w:rsid w:val="002E4659"/>
    <w:rsid w:val="002E4C0D"/>
    <w:rsid w:val="002E4D56"/>
    <w:rsid w:val="002E4EC5"/>
    <w:rsid w:val="002E528C"/>
    <w:rsid w:val="002E598D"/>
    <w:rsid w:val="002E5CBA"/>
    <w:rsid w:val="002E5EFC"/>
    <w:rsid w:val="002E7DC4"/>
    <w:rsid w:val="002F0E66"/>
    <w:rsid w:val="002F13B8"/>
    <w:rsid w:val="002F1449"/>
    <w:rsid w:val="002F1BB7"/>
    <w:rsid w:val="002F2CF0"/>
    <w:rsid w:val="002F34CE"/>
    <w:rsid w:val="002F3F37"/>
    <w:rsid w:val="002F46BF"/>
    <w:rsid w:val="002F5042"/>
    <w:rsid w:val="002F57D5"/>
    <w:rsid w:val="002F5AC5"/>
    <w:rsid w:val="002F6E41"/>
    <w:rsid w:val="002F7347"/>
    <w:rsid w:val="002F73F3"/>
    <w:rsid w:val="002F745D"/>
    <w:rsid w:val="00300046"/>
    <w:rsid w:val="003002B7"/>
    <w:rsid w:val="00300301"/>
    <w:rsid w:val="00301288"/>
    <w:rsid w:val="0030185D"/>
    <w:rsid w:val="003018F4"/>
    <w:rsid w:val="00302143"/>
    <w:rsid w:val="003027F5"/>
    <w:rsid w:val="00302F3E"/>
    <w:rsid w:val="00303AF7"/>
    <w:rsid w:val="00304479"/>
    <w:rsid w:val="00304ACE"/>
    <w:rsid w:val="00307B7C"/>
    <w:rsid w:val="00307E37"/>
    <w:rsid w:val="00310502"/>
    <w:rsid w:val="003107F8"/>
    <w:rsid w:val="00310D1B"/>
    <w:rsid w:val="00311CA7"/>
    <w:rsid w:val="003129FE"/>
    <w:rsid w:val="0031694C"/>
    <w:rsid w:val="00316CA4"/>
    <w:rsid w:val="003175A2"/>
    <w:rsid w:val="00317BF7"/>
    <w:rsid w:val="00317D9E"/>
    <w:rsid w:val="003215A7"/>
    <w:rsid w:val="00321B85"/>
    <w:rsid w:val="00321C0A"/>
    <w:rsid w:val="00321CCC"/>
    <w:rsid w:val="00322870"/>
    <w:rsid w:val="0032301F"/>
    <w:rsid w:val="003245B7"/>
    <w:rsid w:val="00325494"/>
    <w:rsid w:val="00325DC7"/>
    <w:rsid w:val="0032637F"/>
    <w:rsid w:val="00326A57"/>
    <w:rsid w:val="00326F31"/>
    <w:rsid w:val="0032765A"/>
    <w:rsid w:val="00327BD9"/>
    <w:rsid w:val="003306E0"/>
    <w:rsid w:val="003325C5"/>
    <w:rsid w:val="00333E9F"/>
    <w:rsid w:val="00334093"/>
    <w:rsid w:val="003344B5"/>
    <w:rsid w:val="0033460F"/>
    <w:rsid w:val="00335253"/>
    <w:rsid w:val="003357E7"/>
    <w:rsid w:val="00336624"/>
    <w:rsid w:val="003367E2"/>
    <w:rsid w:val="00337B4A"/>
    <w:rsid w:val="00340608"/>
    <w:rsid w:val="00341D6B"/>
    <w:rsid w:val="0034307F"/>
    <w:rsid w:val="003439BF"/>
    <w:rsid w:val="00344299"/>
    <w:rsid w:val="003442BD"/>
    <w:rsid w:val="0034513B"/>
    <w:rsid w:val="0034595B"/>
    <w:rsid w:val="00345CEB"/>
    <w:rsid w:val="003460D6"/>
    <w:rsid w:val="00346AB1"/>
    <w:rsid w:val="00346CF0"/>
    <w:rsid w:val="0034710C"/>
    <w:rsid w:val="00347ACA"/>
    <w:rsid w:val="00347D23"/>
    <w:rsid w:val="0035038D"/>
    <w:rsid w:val="003503EC"/>
    <w:rsid w:val="00350EE0"/>
    <w:rsid w:val="0035133A"/>
    <w:rsid w:val="00351688"/>
    <w:rsid w:val="00352C27"/>
    <w:rsid w:val="003536B0"/>
    <w:rsid w:val="003541A2"/>
    <w:rsid w:val="003562CC"/>
    <w:rsid w:val="00356C69"/>
    <w:rsid w:val="0035776C"/>
    <w:rsid w:val="00357AA7"/>
    <w:rsid w:val="00360680"/>
    <w:rsid w:val="00362620"/>
    <w:rsid w:val="00363069"/>
    <w:rsid w:val="00363A26"/>
    <w:rsid w:val="0036419D"/>
    <w:rsid w:val="003649C3"/>
    <w:rsid w:val="0036588E"/>
    <w:rsid w:val="003665A5"/>
    <w:rsid w:val="003702FF"/>
    <w:rsid w:val="0037041C"/>
    <w:rsid w:val="00370B17"/>
    <w:rsid w:val="00370FC5"/>
    <w:rsid w:val="00370FF5"/>
    <w:rsid w:val="003721EB"/>
    <w:rsid w:val="003740A4"/>
    <w:rsid w:val="00374C30"/>
    <w:rsid w:val="003764BA"/>
    <w:rsid w:val="00376A3F"/>
    <w:rsid w:val="00377040"/>
    <w:rsid w:val="00377482"/>
    <w:rsid w:val="00377623"/>
    <w:rsid w:val="00377EF9"/>
    <w:rsid w:val="00380045"/>
    <w:rsid w:val="00381A87"/>
    <w:rsid w:val="00382415"/>
    <w:rsid w:val="0038425F"/>
    <w:rsid w:val="00386062"/>
    <w:rsid w:val="0038719C"/>
    <w:rsid w:val="0039050C"/>
    <w:rsid w:val="00390E5A"/>
    <w:rsid w:val="003926F0"/>
    <w:rsid w:val="00392E8B"/>
    <w:rsid w:val="003941E5"/>
    <w:rsid w:val="00395113"/>
    <w:rsid w:val="003961D3"/>
    <w:rsid w:val="00396F7C"/>
    <w:rsid w:val="003A0353"/>
    <w:rsid w:val="003A0CF2"/>
    <w:rsid w:val="003A2D08"/>
    <w:rsid w:val="003A3003"/>
    <w:rsid w:val="003A3955"/>
    <w:rsid w:val="003A43DC"/>
    <w:rsid w:val="003A4598"/>
    <w:rsid w:val="003A587B"/>
    <w:rsid w:val="003A5FE0"/>
    <w:rsid w:val="003A7DEA"/>
    <w:rsid w:val="003B0D0C"/>
    <w:rsid w:val="003B0F8C"/>
    <w:rsid w:val="003B1AFF"/>
    <w:rsid w:val="003B1E70"/>
    <w:rsid w:val="003B2510"/>
    <w:rsid w:val="003B337F"/>
    <w:rsid w:val="003B4658"/>
    <w:rsid w:val="003B4EF6"/>
    <w:rsid w:val="003B55C4"/>
    <w:rsid w:val="003C00DB"/>
    <w:rsid w:val="003C0831"/>
    <w:rsid w:val="003C190B"/>
    <w:rsid w:val="003C463E"/>
    <w:rsid w:val="003C5D1A"/>
    <w:rsid w:val="003C7B95"/>
    <w:rsid w:val="003C7D09"/>
    <w:rsid w:val="003C7F46"/>
    <w:rsid w:val="003D0258"/>
    <w:rsid w:val="003D06B2"/>
    <w:rsid w:val="003D0772"/>
    <w:rsid w:val="003D160D"/>
    <w:rsid w:val="003D2713"/>
    <w:rsid w:val="003D2860"/>
    <w:rsid w:val="003D41AC"/>
    <w:rsid w:val="003D42E8"/>
    <w:rsid w:val="003D514B"/>
    <w:rsid w:val="003D517D"/>
    <w:rsid w:val="003D6097"/>
    <w:rsid w:val="003D6FEA"/>
    <w:rsid w:val="003D7026"/>
    <w:rsid w:val="003D7AE9"/>
    <w:rsid w:val="003D7EEA"/>
    <w:rsid w:val="003E0862"/>
    <w:rsid w:val="003E0BE4"/>
    <w:rsid w:val="003E185F"/>
    <w:rsid w:val="003E19BF"/>
    <w:rsid w:val="003E2A22"/>
    <w:rsid w:val="003E33E5"/>
    <w:rsid w:val="003E404C"/>
    <w:rsid w:val="003E4EAD"/>
    <w:rsid w:val="003E4EC7"/>
    <w:rsid w:val="003E51DE"/>
    <w:rsid w:val="003E54E2"/>
    <w:rsid w:val="003E5A88"/>
    <w:rsid w:val="003E6001"/>
    <w:rsid w:val="003E6035"/>
    <w:rsid w:val="003E61EA"/>
    <w:rsid w:val="003E6A79"/>
    <w:rsid w:val="003F168A"/>
    <w:rsid w:val="003F18BA"/>
    <w:rsid w:val="003F18D3"/>
    <w:rsid w:val="003F3C2F"/>
    <w:rsid w:val="003F415C"/>
    <w:rsid w:val="003F4669"/>
    <w:rsid w:val="003F4A7B"/>
    <w:rsid w:val="003F4CFD"/>
    <w:rsid w:val="003F544D"/>
    <w:rsid w:val="003F671B"/>
    <w:rsid w:val="003F6AD7"/>
    <w:rsid w:val="003F6D10"/>
    <w:rsid w:val="003F7247"/>
    <w:rsid w:val="003F7C9E"/>
    <w:rsid w:val="0040078B"/>
    <w:rsid w:val="00402CD6"/>
    <w:rsid w:val="00403D95"/>
    <w:rsid w:val="0040412E"/>
    <w:rsid w:val="00404C22"/>
    <w:rsid w:val="00404C4E"/>
    <w:rsid w:val="00407A6F"/>
    <w:rsid w:val="0041027F"/>
    <w:rsid w:val="00411156"/>
    <w:rsid w:val="00412839"/>
    <w:rsid w:val="00412F6A"/>
    <w:rsid w:val="004149FD"/>
    <w:rsid w:val="004173D8"/>
    <w:rsid w:val="00417765"/>
    <w:rsid w:val="00417941"/>
    <w:rsid w:val="004206BE"/>
    <w:rsid w:val="00420B86"/>
    <w:rsid w:val="00421156"/>
    <w:rsid w:val="00422732"/>
    <w:rsid w:val="0042294B"/>
    <w:rsid w:val="00422A2E"/>
    <w:rsid w:val="00425213"/>
    <w:rsid w:val="00425619"/>
    <w:rsid w:val="00425C13"/>
    <w:rsid w:val="004260D8"/>
    <w:rsid w:val="00427240"/>
    <w:rsid w:val="004277F4"/>
    <w:rsid w:val="00427E44"/>
    <w:rsid w:val="00430907"/>
    <w:rsid w:val="00431699"/>
    <w:rsid w:val="00433805"/>
    <w:rsid w:val="0043393D"/>
    <w:rsid w:val="00433B7B"/>
    <w:rsid w:val="00434BB3"/>
    <w:rsid w:val="00435F4E"/>
    <w:rsid w:val="00435F7B"/>
    <w:rsid w:val="0043642F"/>
    <w:rsid w:val="00436F39"/>
    <w:rsid w:val="00437D6C"/>
    <w:rsid w:val="00441D2B"/>
    <w:rsid w:val="0044275C"/>
    <w:rsid w:val="004427DF"/>
    <w:rsid w:val="00442A78"/>
    <w:rsid w:val="00442AC7"/>
    <w:rsid w:val="00442F05"/>
    <w:rsid w:val="0044386F"/>
    <w:rsid w:val="00443A8D"/>
    <w:rsid w:val="00444771"/>
    <w:rsid w:val="00445517"/>
    <w:rsid w:val="00445635"/>
    <w:rsid w:val="004460D5"/>
    <w:rsid w:val="004463F2"/>
    <w:rsid w:val="004500F8"/>
    <w:rsid w:val="0045098D"/>
    <w:rsid w:val="00450DEC"/>
    <w:rsid w:val="00451396"/>
    <w:rsid w:val="00451BAA"/>
    <w:rsid w:val="00451E5B"/>
    <w:rsid w:val="004525E9"/>
    <w:rsid w:val="00453FB7"/>
    <w:rsid w:val="004548C0"/>
    <w:rsid w:val="00454D48"/>
    <w:rsid w:val="00455EB4"/>
    <w:rsid w:val="0045622E"/>
    <w:rsid w:val="00460CED"/>
    <w:rsid w:val="004619ED"/>
    <w:rsid w:val="00462284"/>
    <w:rsid w:val="004628B5"/>
    <w:rsid w:val="00462D6A"/>
    <w:rsid w:val="0046301C"/>
    <w:rsid w:val="0046327D"/>
    <w:rsid w:val="00464382"/>
    <w:rsid w:val="004647AD"/>
    <w:rsid w:val="00464910"/>
    <w:rsid w:val="00465D09"/>
    <w:rsid w:val="00466947"/>
    <w:rsid w:val="00467FD9"/>
    <w:rsid w:val="00470450"/>
    <w:rsid w:val="0047164C"/>
    <w:rsid w:val="00472256"/>
    <w:rsid w:val="004739E9"/>
    <w:rsid w:val="00474AB7"/>
    <w:rsid w:val="0047546D"/>
    <w:rsid w:val="00475835"/>
    <w:rsid w:val="004766F9"/>
    <w:rsid w:val="00476766"/>
    <w:rsid w:val="004769AD"/>
    <w:rsid w:val="0047708E"/>
    <w:rsid w:val="0047755A"/>
    <w:rsid w:val="00480353"/>
    <w:rsid w:val="0048258E"/>
    <w:rsid w:val="0048263C"/>
    <w:rsid w:val="00482788"/>
    <w:rsid w:val="00482CCC"/>
    <w:rsid w:val="004833FC"/>
    <w:rsid w:val="0048452A"/>
    <w:rsid w:val="004846E2"/>
    <w:rsid w:val="00484C1E"/>
    <w:rsid w:val="00484E5C"/>
    <w:rsid w:val="00484E6B"/>
    <w:rsid w:val="0048568A"/>
    <w:rsid w:val="004856F7"/>
    <w:rsid w:val="004868B6"/>
    <w:rsid w:val="00486915"/>
    <w:rsid w:val="00486E3A"/>
    <w:rsid w:val="004876C1"/>
    <w:rsid w:val="00487E8A"/>
    <w:rsid w:val="00490148"/>
    <w:rsid w:val="00491D5F"/>
    <w:rsid w:val="00492A17"/>
    <w:rsid w:val="00492F0E"/>
    <w:rsid w:val="004937E8"/>
    <w:rsid w:val="00494237"/>
    <w:rsid w:val="00494806"/>
    <w:rsid w:val="00495D64"/>
    <w:rsid w:val="004962B5"/>
    <w:rsid w:val="00497129"/>
    <w:rsid w:val="004A011D"/>
    <w:rsid w:val="004A0672"/>
    <w:rsid w:val="004A1100"/>
    <w:rsid w:val="004A29E8"/>
    <w:rsid w:val="004A495D"/>
    <w:rsid w:val="004A529E"/>
    <w:rsid w:val="004A5416"/>
    <w:rsid w:val="004A5DE0"/>
    <w:rsid w:val="004A62A0"/>
    <w:rsid w:val="004A72A2"/>
    <w:rsid w:val="004B1DFA"/>
    <w:rsid w:val="004B21E0"/>
    <w:rsid w:val="004B513D"/>
    <w:rsid w:val="004B5374"/>
    <w:rsid w:val="004B68E3"/>
    <w:rsid w:val="004B6B73"/>
    <w:rsid w:val="004B78FD"/>
    <w:rsid w:val="004B7EAF"/>
    <w:rsid w:val="004C140B"/>
    <w:rsid w:val="004C17B0"/>
    <w:rsid w:val="004C1DB5"/>
    <w:rsid w:val="004C329C"/>
    <w:rsid w:val="004C395F"/>
    <w:rsid w:val="004C3BF3"/>
    <w:rsid w:val="004C4FC7"/>
    <w:rsid w:val="004C54FA"/>
    <w:rsid w:val="004C6198"/>
    <w:rsid w:val="004C649F"/>
    <w:rsid w:val="004C7268"/>
    <w:rsid w:val="004C7EC0"/>
    <w:rsid w:val="004D0202"/>
    <w:rsid w:val="004D222B"/>
    <w:rsid w:val="004D2B4A"/>
    <w:rsid w:val="004D2B56"/>
    <w:rsid w:val="004D4C9B"/>
    <w:rsid w:val="004D50FB"/>
    <w:rsid w:val="004D5775"/>
    <w:rsid w:val="004D608B"/>
    <w:rsid w:val="004D698C"/>
    <w:rsid w:val="004E06E2"/>
    <w:rsid w:val="004E0DB4"/>
    <w:rsid w:val="004E0E16"/>
    <w:rsid w:val="004E1F80"/>
    <w:rsid w:val="004E36D8"/>
    <w:rsid w:val="004E395E"/>
    <w:rsid w:val="004E3F6D"/>
    <w:rsid w:val="004E407B"/>
    <w:rsid w:val="004E421E"/>
    <w:rsid w:val="004E47C1"/>
    <w:rsid w:val="004E4BE0"/>
    <w:rsid w:val="004E556E"/>
    <w:rsid w:val="004E562A"/>
    <w:rsid w:val="004E5A48"/>
    <w:rsid w:val="004E6CC0"/>
    <w:rsid w:val="004E6D9D"/>
    <w:rsid w:val="004E6F9F"/>
    <w:rsid w:val="004E72FD"/>
    <w:rsid w:val="004E77D8"/>
    <w:rsid w:val="004F260A"/>
    <w:rsid w:val="004F3270"/>
    <w:rsid w:val="004F3936"/>
    <w:rsid w:val="004F4622"/>
    <w:rsid w:val="004F4948"/>
    <w:rsid w:val="004F5121"/>
    <w:rsid w:val="004F6002"/>
    <w:rsid w:val="004F7B2F"/>
    <w:rsid w:val="00500299"/>
    <w:rsid w:val="005026FC"/>
    <w:rsid w:val="00502D69"/>
    <w:rsid w:val="00503105"/>
    <w:rsid w:val="0050672B"/>
    <w:rsid w:val="0051094D"/>
    <w:rsid w:val="00511133"/>
    <w:rsid w:val="00511307"/>
    <w:rsid w:val="00511792"/>
    <w:rsid w:val="00513B3F"/>
    <w:rsid w:val="005162B6"/>
    <w:rsid w:val="0052129D"/>
    <w:rsid w:val="0052133F"/>
    <w:rsid w:val="00521EBA"/>
    <w:rsid w:val="00522962"/>
    <w:rsid w:val="00522968"/>
    <w:rsid w:val="00522A18"/>
    <w:rsid w:val="00522F0F"/>
    <w:rsid w:val="005234E2"/>
    <w:rsid w:val="00523BD8"/>
    <w:rsid w:val="00526FD6"/>
    <w:rsid w:val="00527364"/>
    <w:rsid w:val="00530762"/>
    <w:rsid w:val="00531B0E"/>
    <w:rsid w:val="00531F99"/>
    <w:rsid w:val="00531FF4"/>
    <w:rsid w:val="00532978"/>
    <w:rsid w:val="00534680"/>
    <w:rsid w:val="00534924"/>
    <w:rsid w:val="00534F1B"/>
    <w:rsid w:val="005359A5"/>
    <w:rsid w:val="00536661"/>
    <w:rsid w:val="00536BB4"/>
    <w:rsid w:val="00536D3E"/>
    <w:rsid w:val="00537F32"/>
    <w:rsid w:val="00540D2B"/>
    <w:rsid w:val="005419E3"/>
    <w:rsid w:val="005423FE"/>
    <w:rsid w:val="0054288F"/>
    <w:rsid w:val="00542E7D"/>
    <w:rsid w:val="00543D7C"/>
    <w:rsid w:val="0054415E"/>
    <w:rsid w:val="00544878"/>
    <w:rsid w:val="00544E0F"/>
    <w:rsid w:val="00545276"/>
    <w:rsid w:val="005462C7"/>
    <w:rsid w:val="00551D69"/>
    <w:rsid w:val="0055206D"/>
    <w:rsid w:val="00552871"/>
    <w:rsid w:val="00552F2E"/>
    <w:rsid w:val="005555E1"/>
    <w:rsid w:val="00556FA8"/>
    <w:rsid w:val="00557793"/>
    <w:rsid w:val="00561BC2"/>
    <w:rsid w:val="00561E44"/>
    <w:rsid w:val="005620DC"/>
    <w:rsid w:val="00562B06"/>
    <w:rsid w:val="00562F1D"/>
    <w:rsid w:val="005637EF"/>
    <w:rsid w:val="005642B4"/>
    <w:rsid w:val="00564CD0"/>
    <w:rsid w:val="00564D63"/>
    <w:rsid w:val="0056600A"/>
    <w:rsid w:val="005665E1"/>
    <w:rsid w:val="00567378"/>
    <w:rsid w:val="005674C9"/>
    <w:rsid w:val="00570488"/>
    <w:rsid w:val="00570A76"/>
    <w:rsid w:val="00571F74"/>
    <w:rsid w:val="00572542"/>
    <w:rsid w:val="0057298C"/>
    <w:rsid w:val="00574E2D"/>
    <w:rsid w:val="00575C5F"/>
    <w:rsid w:val="00575F67"/>
    <w:rsid w:val="00576410"/>
    <w:rsid w:val="005765F2"/>
    <w:rsid w:val="00577038"/>
    <w:rsid w:val="00577A81"/>
    <w:rsid w:val="005805E1"/>
    <w:rsid w:val="00580B59"/>
    <w:rsid w:val="0058182B"/>
    <w:rsid w:val="00581D25"/>
    <w:rsid w:val="00582A62"/>
    <w:rsid w:val="005830D3"/>
    <w:rsid w:val="00584BE5"/>
    <w:rsid w:val="0058502E"/>
    <w:rsid w:val="005852BD"/>
    <w:rsid w:val="00590014"/>
    <w:rsid w:val="005908E2"/>
    <w:rsid w:val="00590A4C"/>
    <w:rsid w:val="00595F47"/>
    <w:rsid w:val="00597177"/>
    <w:rsid w:val="005A2B0E"/>
    <w:rsid w:val="005A3414"/>
    <w:rsid w:val="005A4BA4"/>
    <w:rsid w:val="005A5391"/>
    <w:rsid w:val="005A5D3D"/>
    <w:rsid w:val="005A603F"/>
    <w:rsid w:val="005A7EA1"/>
    <w:rsid w:val="005B0FA8"/>
    <w:rsid w:val="005B208E"/>
    <w:rsid w:val="005B22CC"/>
    <w:rsid w:val="005B33DC"/>
    <w:rsid w:val="005B52BD"/>
    <w:rsid w:val="005B5E79"/>
    <w:rsid w:val="005B645A"/>
    <w:rsid w:val="005C0B17"/>
    <w:rsid w:val="005C1028"/>
    <w:rsid w:val="005C1114"/>
    <w:rsid w:val="005C2CEF"/>
    <w:rsid w:val="005C40EC"/>
    <w:rsid w:val="005C51C0"/>
    <w:rsid w:val="005C5583"/>
    <w:rsid w:val="005C65D7"/>
    <w:rsid w:val="005C6957"/>
    <w:rsid w:val="005C6ADC"/>
    <w:rsid w:val="005C6E66"/>
    <w:rsid w:val="005D13EA"/>
    <w:rsid w:val="005D1F0B"/>
    <w:rsid w:val="005D1F25"/>
    <w:rsid w:val="005D23C1"/>
    <w:rsid w:val="005D37C9"/>
    <w:rsid w:val="005D3899"/>
    <w:rsid w:val="005D4056"/>
    <w:rsid w:val="005D5DF0"/>
    <w:rsid w:val="005D63B0"/>
    <w:rsid w:val="005D7C6D"/>
    <w:rsid w:val="005E1C9B"/>
    <w:rsid w:val="005E2197"/>
    <w:rsid w:val="005E222E"/>
    <w:rsid w:val="005E32FF"/>
    <w:rsid w:val="005E35EB"/>
    <w:rsid w:val="005E3B3D"/>
    <w:rsid w:val="005E3CC3"/>
    <w:rsid w:val="005E4BA2"/>
    <w:rsid w:val="005E5042"/>
    <w:rsid w:val="005E7BC6"/>
    <w:rsid w:val="005E7D31"/>
    <w:rsid w:val="005F0E94"/>
    <w:rsid w:val="005F2807"/>
    <w:rsid w:val="005F2A85"/>
    <w:rsid w:val="005F32A1"/>
    <w:rsid w:val="005F3848"/>
    <w:rsid w:val="005F3D66"/>
    <w:rsid w:val="005F47DD"/>
    <w:rsid w:val="005F4DDA"/>
    <w:rsid w:val="005F6FED"/>
    <w:rsid w:val="005F7744"/>
    <w:rsid w:val="005F7ADC"/>
    <w:rsid w:val="005F7DAD"/>
    <w:rsid w:val="0060163A"/>
    <w:rsid w:val="00603202"/>
    <w:rsid w:val="006033B7"/>
    <w:rsid w:val="00603D3E"/>
    <w:rsid w:val="0060439E"/>
    <w:rsid w:val="006052DF"/>
    <w:rsid w:val="006064F9"/>
    <w:rsid w:val="00607C4E"/>
    <w:rsid w:val="00610451"/>
    <w:rsid w:val="0061065A"/>
    <w:rsid w:val="00610972"/>
    <w:rsid w:val="00610A1F"/>
    <w:rsid w:val="00610E83"/>
    <w:rsid w:val="0061329C"/>
    <w:rsid w:val="0061483C"/>
    <w:rsid w:val="006161A3"/>
    <w:rsid w:val="00617017"/>
    <w:rsid w:val="00617600"/>
    <w:rsid w:val="006177AF"/>
    <w:rsid w:val="00617D23"/>
    <w:rsid w:val="00620177"/>
    <w:rsid w:val="006206D0"/>
    <w:rsid w:val="006212D6"/>
    <w:rsid w:val="006220B4"/>
    <w:rsid w:val="0062255C"/>
    <w:rsid w:val="006251CC"/>
    <w:rsid w:val="00626727"/>
    <w:rsid w:val="00626DCE"/>
    <w:rsid w:val="00630189"/>
    <w:rsid w:val="00632350"/>
    <w:rsid w:val="00632E0B"/>
    <w:rsid w:val="00632FA0"/>
    <w:rsid w:val="00633841"/>
    <w:rsid w:val="00633E88"/>
    <w:rsid w:val="00633EE3"/>
    <w:rsid w:val="0063483B"/>
    <w:rsid w:val="0063487B"/>
    <w:rsid w:val="00634EF7"/>
    <w:rsid w:val="00635905"/>
    <w:rsid w:val="00635C47"/>
    <w:rsid w:val="0063761D"/>
    <w:rsid w:val="00637AC0"/>
    <w:rsid w:val="00640493"/>
    <w:rsid w:val="006423C6"/>
    <w:rsid w:val="00642641"/>
    <w:rsid w:val="00642941"/>
    <w:rsid w:val="00642B21"/>
    <w:rsid w:val="0064385B"/>
    <w:rsid w:val="006438E3"/>
    <w:rsid w:val="00643925"/>
    <w:rsid w:val="00645F4A"/>
    <w:rsid w:val="00647F75"/>
    <w:rsid w:val="006522D4"/>
    <w:rsid w:val="00653328"/>
    <w:rsid w:val="00653945"/>
    <w:rsid w:val="006546E6"/>
    <w:rsid w:val="00654A47"/>
    <w:rsid w:val="00654DDC"/>
    <w:rsid w:val="00656B0F"/>
    <w:rsid w:val="00657534"/>
    <w:rsid w:val="00660AED"/>
    <w:rsid w:val="006610EE"/>
    <w:rsid w:val="006633E2"/>
    <w:rsid w:val="0066511B"/>
    <w:rsid w:val="00665726"/>
    <w:rsid w:val="00665B94"/>
    <w:rsid w:val="0066671B"/>
    <w:rsid w:val="00667197"/>
    <w:rsid w:val="006712B8"/>
    <w:rsid w:val="00671BA7"/>
    <w:rsid w:val="00672549"/>
    <w:rsid w:val="00673F4B"/>
    <w:rsid w:val="006749AC"/>
    <w:rsid w:val="0067609A"/>
    <w:rsid w:val="0067644E"/>
    <w:rsid w:val="006770AF"/>
    <w:rsid w:val="00677662"/>
    <w:rsid w:val="00677711"/>
    <w:rsid w:val="00681352"/>
    <w:rsid w:val="00681856"/>
    <w:rsid w:val="0068204B"/>
    <w:rsid w:val="0068378C"/>
    <w:rsid w:val="006837C0"/>
    <w:rsid w:val="00683BF7"/>
    <w:rsid w:val="00684155"/>
    <w:rsid w:val="0068564B"/>
    <w:rsid w:val="00685C6D"/>
    <w:rsid w:val="00687147"/>
    <w:rsid w:val="006876D8"/>
    <w:rsid w:val="00691BDC"/>
    <w:rsid w:val="0069224B"/>
    <w:rsid w:val="00692300"/>
    <w:rsid w:val="0069268B"/>
    <w:rsid w:val="00692C24"/>
    <w:rsid w:val="00695968"/>
    <w:rsid w:val="00696200"/>
    <w:rsid w:val="00696381"/>
    <w:rsid w:val="006979B8"/>
    <w:rsid w:val="006A176D"/>
    <w:rsid w:val="006A4E06"/>
    <w:rsid w:val="006A4F2A"/>
    <w:rsid w:val="006A5593"/>
    <w:rsid w:val="006A5AE5"/>
    <w:rsid w:val="006A5B0E"/>
    <w:rsid w:val="006A61D0"/>
    <w:rsid w:val="006A62E6"/>
    <w:rsid w:val="006A6CB0"/>
    <w:rsid w:val="006A7014"/>
    <w:rsid w:val="006B015B"/>
    <w:rsid w:val="006B036D"/>
    <w:rsid w:val="006B063C"/>
    <w:rsid w:val="006B071B"/>
    <w:rsid w:val="006B0B15"/>
    <w:rsid w:val="006B0B75"/>
    <w:rsid w:val="006B0BA7"/>
    <w:rsid w:val="006B17E2"/>
    <w:rsid w:val="006B1B0D"/>
    <w:rsid w:val="006B34BA"/>
    <w:rsid w:val="006B3993"/>
    <w:rsid w:val="006B41CB"/>
    <w:rsid w:val="006B4972"/>
    <w:rsid w:val="006B4C2A"/>
    <w:rsid w:val="006B4DE7"/>
    <w:rsid w:val="006B6A82"/>
    <w:rsid w:val="006B6B04"/>
    <w:rsid w:val="006B7A35"/>
    <w:rsid w:val="006B7B06"/>
    <w:rsid w:val="006C061B"/>
    <w:rsid w:val="006C1463"/>
    <w:rsid w:val="006C1EFB"/>
    <w:rsid w:val="006C3E65"/>
    <w:rsid w:val="006C4474"/>
    <w:rsid w:val="006C4F76"/>
    <w:rsid w:val="006C54FA"/>
    <w:rsid w:val="006D0938"/>
    <w:rsid w:val="006D1C88"/>
    <w:rsid w:val="006D1D92"/>
    <w:rsid w:val="006D2499"/>
    <w:rsid w:val="006D2D1F"/>
    <w:rsid w:val="006D2F71"/>
    <w:rsid w:val="006D3508"/>
    <w:rsid w:val="006D41FF"/>
    <w:rsid w:val="006D5B8C"/>
    <w:rsid w:val="006D675A"/>
    <w:rsid w:val="006D6908"/>
    <w:rsid w:val="006D7408"/>
    <w:rsid w:val="006D74E6"/>
    <w:rsid w:val="006D778A"/>
    <w:rsid w:val="006E0968"/>
    <w:rsid w:val="006E2DE7"/>
    <w:rsid w:val="006E3CFA"/>
    <w:rsid w:val="006E4465"/>
    <w:rsid w:val="006E472F"/>
    <w:rsid w:val="006E497C"/>
    <w:rsid w:val="006E53BE"/>
    <w:rsid w:val="006E5BF6"/>
    <w:rsid w:val="006E60BF"/>
    <w:rsid w:val="006E6166"/>
    <w:rsid w:val="006E7A09"/>
    <w:rsid w:val="006F155F"/>
    <w:rsid w:val="006F1D3D"/>
    <w:rsid w:val="006F3863"/>
    <w:rsid w:val="006F391C"/>
    <w:rsid w:val="006F3E62"/>
    <w:rsid w:val="006F4F45"/>
    <w:rsid w:val="006F750F"/>
    <w:rsid w:val="00701691"/>
    <w:rsid w:val="00701731"/>
    <w:rsid w:val="00701C48"/>
    <w:rsid w:val="00702719"/>
    <w:rsid w:val="007038BD"/>
    <w:rsid w:val="00704055"/>
    <w:rsid w:val="00704755"/>
    <w:rsid w:val="00710E15"/>
    <w:rsid w:val="007112FC"/>
    <w:rsid w:val="00711A24"/>
    <w:rsid w:val="0071352E"/>
    <w:rsid w:val="00713840"/>
    <w:rsid w:val="00713882"/>
    <w:rsid w:val="00713E98"/>
    <w:rsid w:val="00716E2C"/>
    <w:rsid w:val="00717C54"/>
    <w:rsid w:val="00717ED7"/>
    <w:rsid w:val="007203FE"/>
    <w:rsid w:val="00720768"/>
    <w:rsid w:val="00720C76"/>
    <w:rsid w:val="00721876"/>
    <w:rsid w:val="0072413D"/>
    <w:rsid w:val="0072449A"/>
    <w:rsid w:val="0072451D"/>
    <w:rsid w:val="007249D3"/>
    <w:rsid w:val="007256B5"/>
    <w:rsid w:val="00726C8E"/>
    <w:rsid w:val="00726F5F"/>
    <w:rsid w:val="00730999"/>
    <w:rsid w:val="00731019"/>
    <w:rsid w:val="0073123E"/>
    <w:rsid w:val="007343DC"/>
    <w:rsid w:val="00735AE0"/>
    <w:rsid w:val="00736685"/>
    <w:rsid w:val="00736BF2"/>
    <w:rsid w:val="007376A7"/>
    <w:rsid w:val="00737FB7"/>
    <w:rsid w:val="007403A6"/>
    <w:rsid w:val="007405E7"/>
    <w:rsid w:val="007414B1"/>
    <w:rsid w:val="00741BC4"/>
    <w:rsid w:val="00741F3D"/>
    <w:rsid w:val="00742789"/>
    <w:rsid w:val="00742B16"/>
    <w:rsid w:val="0074309A"/>
    <w:rsid w:val="007432DC"/>
    <w:rsid w:val="007432FA"/>
    <w:rsid w:val="00743397"/>
    <w:rsid w:val="0074353C"/>
    <w:rsid w:val="00743DCE"/>
    <w:rsid w:val="00743F1F"/>
    <w:rsid w:val="00744135"/>
    <w:rsid w:val="0074413D"/>
    <w:rsid w:val="007443C1"/>
    <w:rsid w:val="0074453C"/>
    <w:rsid w:val="0074466F"/>
    <w:rsid w:val="00747512"/>
    <w:rsid w:val="00750A51"/>
    <w:rsid w:val="00751A34"/>
    <w:rsid w:val="007522E5"/>
    <w:rsid w:val="00754762"/>
    <w:rsid w:val="0075517B"/>
    <w:rsid w:val="007559AF"/>
    <w:rsid w:val="00757BCA"/>
    <w:rsid w:val="0076143E"/>
    <w:rsid w:val="00761AED"/>
    <w:rsid w:val="00762525"/>
    <w:rsid w:val="007626E6"/>
    <w:rsid w:val="00762A14"/>
    <w:rsid w:val="00762CDC"/>
    <w:rsid w:val="00762FCF"/>
    <w:rsid w:val="00763F8D"/>
    <w:rsid w:val="00764590"/>
    <w:rsid w:val="007646A2"/>
    <w:rsid w:val="00764EDC"/>
    <w:rsid w:val="00766081"/>
    <w:rsid w:val="007662F4"/>
    <w:rsid w:val="00766685"/>
    <w:rsid w:val="00770B04"/>
    <w:rsid w:val="00771314"/>
    <w:rsid w:val="00771B8A"/>
    <w:rsid w:val="00772BD9"/>
    <w:rsid w:val="00773BFF"/>
    <w:rsid w:val="00773E14"/>
    <w:rsid w:val="007750AF"/>
    <w:rsid w:val="00776951"/>
    <w:rsid w:val="007801C0"/>
    <w:rsid w:val="00780E96"/>
    <w:rsid w:val="007813EC"/>
    <w:rsid w:val="0078260D"/>
    <w:rsid w:val="00782E92"/>
    <w:rsid w:val="007830A9"/>
    <w:rsid w:val="00783C08"/>
    <w:rsid w:val="0078452C"/>
    <w:rsid w:val="00784920"/>
    <w:rsid w:val="00785115"/>
    <w:rsid w:val="007859D9"/>
    <w:rsid w:val="0078623D"/>
    <w:rsid w:val="00786902"/>
    <w:rsid w:val="00786B03"/>
    <w:rsid w:val="00787A3D"/>
    <w:rsid w:val="00790167"/>
    <w:rsid w:val="007910B5"/>
    <w:rsid w:val="00791AC5"/>
    <w:rsid w:val="00792631"/>
    <w:rsid w:val="007942FC"/>
    <w:rsid w:val="00794A05"/>
    <w:rsid w:val="00795132"/>
    <w:rsid w:val="00795D52"/>
    <w:rsid w:val="00796537"/>
    <w:rsid w:val="007976E4"/>
    <w:rsid w:val="007A0DC3"/>
    <w:rsid w:val="007A1321"/>
    <w:rsid w:val="007A1BBB"/>
    <w:rsid w:val="007A1DDF"/>
    <w:rsid w:val="007A2575"/>
    <w:rsid w:val="007A4221"/>
    <w:rsid w:val="007A5429"/>
    <w:rsid w:val="007A55FB"/>
    <w:rsid w:val="007A58BC"/>
    <w:rsid w:val="007B1650"/>
    <w:rsid w:val="007B1A40"/>
    <w:rsid w:val="007B1A83"/>
    <w:rsid w:val="007B1CDF"/>
    <w:rsid w:val="007B27D0"/>
    <w:rsid w:val="007B2EB6"/>
    <w:rsid w:val="007B32C7"/>
    <w:rsid w:val="007B415F"/>
    <w:rsid w:val="007B53CC"/>
    <w:rsid w:val="007B5FA3"/>
    <w:rsid w:val="007B6FC1"/>
    <w:rsid w:val="007B7980"/>
    <w:rsid w:val="007C0505"/>
    <w:rsid w:val="007C07F6"/>
    <w:rsid w:val="007C0B71"/>
    <w:rsid w:val="007C11A7"/>
    <w:rsid w:val="007C1329"/>
    <w:rsid w:val="007C1DAD"/>
    <w:rsid w:val="007C1DE7"/>
    <w:rsid w:val="007C367C"/>
    <w:rsid w:val="007C525C"/>
    <w:rsid w:val="007C53E2"/>
    <w:rsid w:val="007C55FD"/>
    <w:rsid w:val="007C5765"/>
    <w:rsid w:val="007D0638"/>
    <w:rsid w:val="007D0A12"/>
    <w:rsid w:val="007D1092"/>
    <w:rsid w:val="007D24FE"/>
    <w:rsid w:val="007D2694"/>
    <w:rsid w:val="007D27E5"/>
    <w:rsid w:val="007D3814"/>
    <w:rsid w:val="007D3B2E"/>
    <w:rsid w:val="007D4083"/>
    <w:rsid w:val="007D4B5A"/>
    <w:rsid w:val="007D50E7"/>
    <w:rsid w:val="007D5F5A"/>
    <w:rsid w:val="007D6797"/>
    <w:rsid w:val="007E02D4"/>
    <w:rsid w:val="007E0DA6"/>
    <w:rsid w:val="007E1377"/>
    <w:rsid w:val="007E2432"/>
    <w:rsid w:val="007E25A7"/>
    <w:rsid w:val="007E2F17"/>
    <w:rsid w:val="007E42C1"/>
    <w:rsid w:val="007E4B9C"/>
    <w:rsid w:val="007E5F2B"/>
    <w:rsid w:val="007E6770"/>
    <w:rsid w:val="007E6D3C"/>
    <w:rsid w:val="007E78BF"/>
    <w:rsid w:val="007E7FEA"/>
    <w:rsid w:val="007F096A"/>
    <w:rsid w:val="007F0DBE"/>
    <w:rsid w:val="007F0F3B"/>
    <w:rsid w:val="007F173B"/>
    <w:rsid w:val="007F23CB"/>
    <w:rsid w:val="007F2901"/>
    <w:rsid w:val="007F5596"/>
    <w:rsid w:val="007F619D"/>
    <w:rsid w:val="007F666B"/>
    <w:rsid w:val="008027EF"/>
    <w:rsid w:val="0080351B"/>
    <w:rsid w:val="0080392E"/>
    <w:rsid w:val="008039E1"/>
    <w:rsid w:val="00804045"/>
    <w:rsid w:val="00804DE1"/>
    <w:rsid w:val="00805272"/>
    <w:rsid w:val="00805CD9"/>
    <w:rsid w:val="0080637A"/>
    <w:rsid w:val="00806E27"/>
    <w:rsid w:val="0081244A"/>
    <w:rsid w:val="0081518C"/>
    <w:rsid w:val="00815A7E"/>
    <w:rsid w:val="008162DF"/>
    <w:rsid w:val="00816432"/>
    <w:rsid w:val="00816F3A"/>
    <w:rsid w:val="00817247"/>
    <w:rsid w:val="008174DC"/>
    <w:rsid w:val="00817813"/>
    <w:rsid w:val="00820DBA"/>
    <w:rsid w:val="00821458"/>
    <w:rsid w:val="0082154C"/>
    <w:rsid w:val="008226FC"/>
    <w:rsid w:val="00823096"/>
    <w:rsid w:val="0082386A"/>
    <w:rsid w:val="0083003A"/>
    <w:rsid w:val="00830302"/>
    <w:rsid w:val="00830961"/>
    <w:rsid w:val="0083269F"/>
    <w:rsid w:val="00832DF1"/>
    <w:rsid w:val="00833252"/>
    <w:rsid w:val="00833C78"/>
    <w:rsid w:val="00833F55"/>
    <w:rsid w:val="0083504C"/>
    <w:rsid w:val="008350FB"/>
    <w:rsid w:val="008355AA"/>
    <w:rsid w:val="008358E4"/>
    <w:rsid w:val="00835BC1"/>
    <w:rsid w:val="00836F04"/>
    <w:rsid w:val="00837250"/>
    <w:rsid w:val="00837567"/>
    <w:rsid w:val="00841F19"/>
    <w:rsid w:val="0084268C"/>
    <w:rsid w:val="008426BB"/>
    <w:rsid w:val="00843001"/>
    <w:rsid w:val="0084361B"/>
    <w:rsid w:val="00843EF3"/>
    <w:rsid w:val="00845695"/>
    <w:rsid w:val="0084661D"/>
    <w:rsid w:val="00847761"/>
    <w:rsid w:val="00850C90"/>
    <w:rsid w:val="00850DD4"/>
    <w:rsid w:val="00850E38"/>
    <w:rsid w:val="00851187"/>
    <w:rsid w:val="00851335"/>
    <w:rsid w:val="00852107"/>
    <w:rsid w:val="0085299C"/>
    <w:rsid w:val="00853D11"/>
    <w:rsid w:val="00853DB1"/>
    <w:rsid w:val="00857AC7"/>
    <w:rsid w:val="008601DF"/>
    <w:rsid w:val="00861E73"/>
    <w:rsid w:val="00862090"/>
    <w:rsid w:val="00862229"/>
    <w:rsid w:val="008632CA"/>
    <w:rsid w:val="008642F7"/>
    <w:rsid w:val="008642F8"/>
    <w:rsid w:val="00867111"/>
    <w:rsid w:val="0086748B"/>
    <w:rsid w:val="008679FA"/>
    <w:rsid w:val="008728B9"/>
    <w:rsid w:val="00873D54"/>
    <w:rsid w:val="00873DC5"/>
    <w:rsid w:val="00873E31"/>
    <w:rsid w:val="0087660F"/>
    <w:rsid w:val="00876E96"/>
    <w:rsid w:val="00880155"/>
    <w:rsid w:val="0088115A"/>
    <w:rsid w:val="00881C7B"/>
    <w:rsid w:val="008828BD"/>
    <w:rsid w:val="008834FD"/>
    <w:rsid w:val="00884167"/>
    <w:rsid w:val="00885531"/>
    <w:rsid w:val="00885C2E"/>
    <w:rsid w:val="008869C5"/>
    <w:rsid w:val="00887CAD"/>
    <w:rsid w:val="00887FFC"/>
    <w:rsid w:val="00890087"/>
    <w:rsid w:val="00892114"/>
    <w:rsid w:val="00893306"/>
    <w:rsid w:val="0089603F"/>
    <w:rsid w:val="00897AAA"/>
    <w:rsid w:val="00897EF5"/>
    <w:rsid w:val="008A01DE"/>
    <w:rsid w:val="008A04EE"/>
    <w:rsid w:val="008A15BA"/>
    <w:rsid w:val="008A26FC"/>
    <w:rsid w:val="008A328D"/>
    <w:rsid w:val="008A39C2"/>
    <w:rsid w:val="008A59FA"/>
    <w:rsid w:val="008A692B"/>
    <w:rsid w:val="008A7374"/>
    <w:rsid w:val="008B06CF"/>
    <w:rsid w:val="008B1690"/>
    <w:rsid w:val="008B1927"/>
    <w:rsid w:val="008B1E50"/>
    <w:rsid w:val="008B3338"/>
    <w:rsid w:val="008B4F74"/>
    <w:rsid w:val="008B5000"/>
    <w:rsid w:val="008B50CB"/>
    <w:rsid w:val="008B5686"/>
    <w:rsid w:val="008B58D3"/>
    <w:rsid w:val="008B65B5"/>
    <w:rsid w:val="008B6F17"/>
    <w:rsid w:val="008B78DB"/>
    <w:rsid w:val="008B7C51"/>
    <w:rsid w:val="008B7EB2"/>
    <w:rsid w:val="008C01F6"/>
    <w:rsid w:val="008C1545"/>
    <w:rsid w:val="008C2868"/>
    <w:rsid w:val="008C2C58"/>
    <w:rsid w:val="008C36E4"/>
    <w:rsid w:val="008C374D"/>
    <w:rsid w:val="008C38A1"/>
    <w:rsid w:val="008C452A"/>
    <w:rsid w:val="008C4B4B"/>
    <w:rsid w:val="008C6EA0"/>
    <w:rsid w:val="008D2E79"/>
    <w:rsid w:val="008D34DD"/>
    <w:rsid w:val="008D4264"/>
    <w:rsid w:val="008D466A"/>
    <w:rsid w:val="008D4F34"/>
    <w:rsid w:val="008D5F8A"/>
    <w:rsid w:val="008D671C"/>
    <w:rsid w:val="008D6783"/>
    <w:rsid w:val="008D6876"/>
    <w:rsid w:val="008D69E7"/>
    <w:rsid w:val="008D6FED"/>
    <w:rsid w:val="008D756D"/>
    <w:rsid w:val="008E0E53"/>
    <w:rsid w:val="008E258D"/>
    <w:rsid w:val="008E329E"/>
    <w:rsid w:val="008E3437"/>
    <w:rsid w:val="008E39AB"/>
    <w:rsid w:val="008E3E74"/>
    <w:rsid w:val="008E4B3C"/>
    <w:rsid w:val="008E57CE"/>
    <w:rsid w:val="008E5A2D"/>
    <w:rsid w:val="008E7432"/>
    <w:rsid w:val="008F21C7"/>
    <w:rsid w:val="008F24DF"/>
    <w:rsid w:val="008F2E78"/>
    <w:rsid w:val="008F35D2"/>
    <w:rsid w:val="008F40EC"/>
    <w:rsid w:val="008F4760"/>
    <w:rsid w:val="008F6244"/>
    <w:rsid w:val="008F671F"/>
    <w:rsid w:val="008F76D7"/>
    <w:rsid w:val="00900A96"/>
    <w:rsid w:val="00901B53"/>
    <w:rsid w:val="00902084"/>
    <w:rsid w:val="009032CA"/>
    <w:rsid w:val="00903CCE"/>
    <w:rsid w:val="009040AA"/>
    <w:rsid w:val="009048EC"/>
    <w:rsid w:val="0090493C"/>
    <w:rsid w:val="00904DCE"/>
    <w:rsid w:val="009053D7"/>
    <w:rsid w:val="00905570"/>
    <w:rsid w:val="0090638D"/>
    <w:rsid w:val="00910818"/>
    <w:rsid w:val="00911085"/>
    <w:rsid w:val="00911102"/>
    <w:rsid w:val="00911FEC"/>
    <w:rsid w:val="009120B3"/>
    <w:rsid w:val="00912B0C"/>
    <w:rsid w:val="00913A8D"/>
    <w:rsid w:val="00916644"/>
    <w:rsid w:val="00916963"/>
    <w:rsid w:val="00916DF9"/>
    <w:rsid w:val="00917243"/>
    <w:rsid w:val="009174A1"/>
    <w:rsid w:val="0092041E"/>
    <w:rsid w:val="00921FA9"/>
    <w:rsid w:val="0092234B"/>
    <w:rsid w:val="009228B5"/>
    <w:rsid w:val="00923826"/>
    <w:rsid w:val="00923C63"/>
    <w:rsid w:val="00923FC0"/>
    <w:rsid w:val="00924906"/>
    <w:rsid w:val="00924981"/>
    <w:rsid w:val="00924BDC"/>
    <w:rsid w:val="009268BE"/>
    <w:rsid w:val="00927069"/>
    <w:rsid w:val="00927B79"/>
    <w:rsid w:val="00927E87"/>
    <w:rsid w:val="00931F6B"/>
    <w:rsid w:val="00933B89"/>
    <w:rsid w:val="00934245"/>
    <w:rsid w:val="0093463A"/>
    <w:rsid w:val="00935046"/>
    <w:rsid w:val="00935E7F"/>
    <w:rsid w:val="00936C38"/>
    <w:rsid w:val="009404CE"/>
    <w:rsid w:val="00941481"/>
    <w:rsid w:val="00941630"/>
    <w:rsid w:val="00941C8A"/>
    <w:rsid w:val="00942BC9"/>
    <w:rsid w:val="009449FF"/>
    <w:rsid w:val="00944EAA"/>
    <w:rsid w:val="00947FD0"/>
    <w:rsid w:val="00950AD5"/>
    <w:rsid w:val="009517E1"/>
    <w:rsid w:val="009521FA"/>
    <w:rsid w:val="00952505"/>
    <w:rsid w:val="00956B04"/>
    <w:rsid w:val="00956FEE"/>
    <w:rsid w:val="009573DF"/>
    <w:rsid w:val="00960476"/>
    <w:rsid w:val="00961A50"/>
    <w:rsid w:val="009620C2"/>
    <w:rsid w:val="00962936"/>
    <w:rsid w:val="0096382D"/>
    <w:rsid w:val="00963886"/>
    <w:rsid w:val="00964C2C"/>
    <w:rsid w:val="00964CBF"/>
    <w:rsid w:val="0096524D"/>
    <w:rsid w:val="00965322"/>
    <w:rsid w:val="009665B2"/>
    <w:rsid w:val="00966DE9"/>
    <w:rsid w:val="009671B5"/>
    <w:rsid w:val="00967D1A"/>
    <w:rsid w:val="0097044A"/>
    <w:rsid w:val="00970C6D"/>
    <w:rsid w:val="0097234A"/>
    <w:rsid w:val="00972407"/>
    <w:rsid w:val="00972563"/>
    <w:rsid w:val="009736C2"/>
    <w:rsid w:val="009743F5"/>
    <w:rsid w:val="00974DE0"/>
    <w:rsid w:val="009751F1"/>
    <w:rsid w:val="00976CCD"/>
    <w:rsid w:val="00977BD1"/>
    <w:rsid w:val="00977C95"/>
    <w:rsid w:val="009814A0"/>
    <w:rsid w:val="009821DF"/>
    <w:rsid w:val="0098386E"/>
    <w:rsid w:val="009839AD"/>
    <w:rsid w:val="00983E13"/>
    <w:rsid w:val="009845F7"/>
    <w:rsid w:val="0098588A"/>
    <w:rsid w:val="00986312"/>
    <w:rsid w:val="009863CC"/>
    <w:rsid w:val="00986BE8"/>
    <w:rsid w:val="00986D92"/>
    <w:rsid w:val="00986FCD"/>
    <w:rsid w:val="009872BD"/>
    <w:rsid w:val="00991289"/>
    <w:rsid w:val="00991315"/>
    <w:rsid w:val="009929D3"/>
    <w:rsid w:val="00992F07"/>
    <w:rsid w:val="009956D4"/>
    <w:rsid w:val="009967BD"/>
    <w:rsid w:val="00997193"/>
    <w:rsid w:val="0099762A"/>
    <w:rsid w:val="00997BE9"/>
    <w:rsid w:val="009A0267"/>
    <w:rsid w:val="009A2473"/>
    <w:rsid w:val="009A4BB7"/>
    <w:rsid w:val="009A4FD3"/>
    <w:rsid w:val="009A6B53"/>
    <w:rsid w:val="009A7997"/>
    <w:rsid w:val="009A7A51"/>
    <w:rsid w:val="009B20E7"/>
    <w:rsid w:val="009B2FF3"/>
    <w:rsid w:val="009B3CA7"/>
    <w:rsid w:val="009B4302"/>
    <w:rsid w:val="009B4EA6"/>
    <w:rsid w:val="009B536E"/>
    <w:rsid w:val="009B5A7F"/>
    <w:rsid w:val="009B6101"/>
    <w:rsid w:val="009B6F4D"/>
    <w:rsid w:val="009B7324"/>
    <w:rsid w:val="009B7506"/>
    <w:rsid w:val="009B7A47"/>
    <w:rsid w:val="009C019C"/>
    <w:rsid w:val="009C024C"/>
    <w:rsid w:val="009C0777"/>
    <w:rsid w:val="009C0A04"/>
    <w:rsid w:val="009C156D"/>
    <w:rsid w:val="009C2332"/>
    <w:rsid w:val="009C37F6"/>
    <w:rsid w:val="009C3CA6"/>
    <w:rsid w:val="009C3EBF"/>
    <w:rsid w:val="009C404B"/>
    <w:rsid w:val="009C442B"/>
    <w:rsid w:val="009C528F"/>
    <w:rsid w:val="009C5F86"/>
    <w:rsid w:val="009C6F1D"/>
    <w:rsid w:val="009C7359"/>
    <w:rsid w:val="009C7F98"/>
    <w:rsid w:val="009D00B6"/>
    <w:rsid w:val="009D08A5"/>
    <w:rsid w:val="009D08B8"/>
    <w:rsid w:val="009D0D7B"/>
    <w:rsid w:val="009D0E86"/>
    <w:rsid w:val="009D2568"/>
    <w:rsid w:val="009D3203"/>
    <w:rsid w:val="009D3C31"/>
    <w:rsid w:val="009D599A"/>
    <w:rsid w:val="009D67B9"/>
    <w:rsid w:val="009D6BAD"/>
    <w:rsid w:val="009D6E39"/>
    <w:rsid w:val="009E1701"/>
    <w:rsid w:val="009E18AD"/>
    <w:rsid w:val="009E20EC"/>
    <w:rsid w:val="009E2A39"/>
    <w:rsid w:val="009E3589"/>
    <w:rsid w:val="009E3B1D"/>
    <w:rsid w:val="009E3D17"/>
    <w:rsid w:val="009E70E6"/>
    <w:rsid w:val="009E7F81"/>
    <w:rsid w:val="009F0622"/>
    <w:rsid w:val="009F0FBD"/>
    <w:rsid w:val="009F1AA7"/>
    <w:rsid w:val="009F20A7"/>
    <w:rsid w:val="009F485C"/>
    <w:rsid w:val="009F4CD4"/>
    <w:rsid w:val="009F4D02"/>
    <w:rsid w:val="00A01D3A"/>
    <w:rsid w:val="00A0244D"/>
    <w:rsid w:val="00A024D9"/>
    <w:rsid w:val="00A0270B"/>
    <w:rsid w:val="00A036DE"/>
    <w:rsid w:val="00A048BD"/>
    <w:rsid w:val="00A0664B"/>
    <w:rsid w:val="00A06F2E"/>
    <w:rsid w:val="00A070CE"/>
    <w:rsid w:val="00A07433"/>
    <w:rsid w:val="00A07DC7"/>
    <w:rsid w:val="00A103AE"/>
    <w:rsid w:val="00A117BC"/>
    <w:rsid w:val="00A12536"/>
    <w:rsid w:val="00A1256E"/>
    <w:rsid w:val="00A13095"/>
    <w:rsid w:val="00A13DF7"/>
    <w:rsid w:val="00A141BB"/>
    <w:rsid w:val="00A14EA9"/>
    <w:rsid w:val="00A16924"/>
    <w:rsid w:val="00A17DE2"/>
    <w:rsid w:val="00A21F37"/>
    <w:rsid w:val="00A21F8F"/>
    <w:rsid w:val="00A22530"/>
    <w:rsid w:val="00A22855"/>
    <w:rsid w:val="00A22BCE"/>
    <w:rsid w:val="00A22C6D"/>
    <w:rsid w:val="00A23A34"/>
    <w:rsid w:val="00A23BAD"/>
    <w:rsid w:val="00A2483E"/>
    <w:rsid w:val="00A254BE"/>
    <w:rsid w:val="00A25812"/>
    <w:rsid w:val="00A2614D"/>
    <w:rsid w:val="00A2732D"/>
    <w:rsid w:val="00A2744E"/>
    <w:rsid w:val="00A304B7"/>
    <w:rsid w:val="00A304EC"/>
    <w:rsid w:val="00A31042"/>
    <w:rsid w:val="00A314F8"/>
    <w:rsid w:val="00A31832"/>
    <w:rsid w:val="00A32F91"/>
    <w:rsid w:val="00A3446B"/>
    <w:rsid w:val="00A34542"/>
    <w:rsid w:val="00A34E0A"/>
    <w:rsid w:val="00A357B2"/>
    <w:rsid w:val="00A3626B"/>
    <w:rsid w:val="00A364B9"/>
    <w:rsid w:val="00A37BF7"/>
    <w:rsid w:val="00A401D3"/>
    <w:rsid w:val="00A4069C"/>
    <w:rsid w:val="00A42453"/>
    <w:rsid w:val="00A43421"/>
    <w:rsid w:val="00A434F4"/>
    <w:rsid w:val="00A44420"/>
    <w:rsid w:val="00A44A44"/>
    <w:rsid w:val="00A45714"/>
    <w:rsid w:val="00A46A2B"/>
    <w:rsid w:val="00A46DCD"/>
    <w:rsid w:val="00A47A0C"/>
    <w:rsid w:val="00A50CF8"/>
    <w:rsid w:val="00A535F3"/>
    <w:rsid w:val="00A539B3"/>
    <w:rsid w:val="00A53EF6"/>
    <w:rsid w:val="00A543EA"/>
    <w:rsid w:val="00A54720"/>
    <w:rsid w:val="00A55F35"/>
    <w:rsid w:val="00A55FDD"/>
    <w:rsid w:val="00A56659"/>
    <w:rsid w:val="00A60CB2"/>
    <w:rsid w:val="00A63CEB"/>
    <w:rsid w:val="00A63F9C"/>
    <w:rsid w:val="00A642AF"/>
    <w:rsid w:val="00A66B44"/>
    <w:rsid w:val="00A66C91"/>
    <w:rsid w:val="00A71391"/>
    <w:rsid w:val="00A71CFC"/>
    <w:rsid w:val="00A7231E"/>
    <w:rsid w:val="00A730B5"/>
    <w:rsid w:val="00A7460B"/>
    <w:rsid w:val="00A74CBB"/>
    <w:rsid w:val="00A7516C"/>
    <w:rsid w:val="00A77430"/>
    <w:rsid w:val="00A77A13"/>
    <w:rsid w:val="00A801E2"/>
    <w:rsid w:val="00A801FD"/>
    <w:rsid w:val="00A813A9"/>
    <w:rsid w:val="00A8170A"/>
    <w:rsid w:val="00A86A2B"/>
    <w:rsid w:val="00A86A60"/>
    <w:rsid w:val="00A875B2"/>
    <w:rsid w:val="00A90618"/>
    <w:rsid w:val="00A90F76"/>
    <w:rsid w:val="00A91721"/>
    <w:rsid w:val="00A92B4F"/>
    <w:rsid w:val="00A93220"/>
    <w:rsid w:val="00A93E06"/>
    <w:rsid w:val="00A94795"/>
    <w:rsid w:val="00AA056D"/>
    <w:rsid w:val="00AA0A40"/>
    <w:rsid w:val="00AA1B28"/>
    <w:rsid w:val="00AA1E1F"/>
    <w:rsid w:val="00AA3660"/>
    <w:rsid w:val="00AA391E"/>
    <w:rsid w:val="00AA436E"/>
    <w:rsid w:val="00AA44BA"/>
    <w:rsid w:val="00AA481C"/>
    <w:rsid w:val="00AA4ED2"/>
    <w:rsid w:val="00AA4FAA"/>
    <w:rsid w:val="00AA58D5"/>
    <w:rsid w:val="00AB13A5"/>
    <w:rsid w:val="00AB1573"/>
    <w:rsid w:val="00AB1CF5"/>
    <w:rsid w:val="00AB2B53"/>
    <w:rsid w:val="00AB2B81"/>
    <w:rsid w:val="00AB2D68"/>
    <w:rsid w:val="00AB60CE"/>
    <w:rsid w:val="00AB615D"/>
    <w:rsid w:val="00AB6955"/>
    <w:rsid w:val="00AB78AB"/>
    <w:rsid w:val="00AC0017"/>
    <w:rsid w:val="00AC1946"/>
    <w:rsid w:val="00AC1988"/>
    <w:rsid w:val="00AC2BD0"/>
    <w:rsid w:val="00AC30B0"/>
    <w:rsid w:val="00AC4BD2"/>
    <w:rsid w:val="00AC51C2"/>
    <w:rsid w:val="00AC52E0"/>
    <w:rsid w:val="00AC58B5"/>
    <w:rsid w:val="00AC73BF"/>
    <w:rsid w:val="00AC7478"/>
    <w:rsid w:val="00AC77A2"/>
    <w:rsid w:val="00AD06B3"/>
    <w:rsid w:val="00AD1A3A"/>
    <w:rsid w:val="00AD4A10"/>
    <w:rsid w:val="00AD4CA3"/>
    <w:rsid w:val="00AD5F84"/>
    <w:rsid w:val="00AD67B3"/>
    <w:rsid w:val="00AD7A57"/>
    <w:rsid w:val="00AE1769"/>
    <w:rsid w:val="00AE32FE"/>
    <w:rsid w:val="00AE4641"/>
    <w:rsid w:val="00AE563D"/>
    <w:rsid w:val="00AE66F6"/>
    <w:rsid w:val="00AE6F2A"/>
    <w:rsid w:val="00AE7056"/>
    <w:rsid w:val="00AF0C39"/>
    <w:rsid w:val="00AF0E33"/>
    <w:rsid w:val="00AF1AB8"/>
    <w:rsid w:val="00AF1EF0"/>
    <w:rsid w:val="00AF5194"/>
    <w:rsid w:val="00B01271"/>
    <w:rsid w:val="00B017EB"/>
    <w:rsid w:val="00B01DF8"/>
    <w:rsid w:val="00B029C2"/>
    <w:rsid w:val="00B0425F"/>
    <w:rsid w:val="00B0451D"/>
    <w:rsid w:val="00B05F2C"/>
    <w:rsid w:val="00B074F8"/>
    <w:rsid w:val="00B07763"/>
    <w:rsid w:val="00B0776B"/>
    <w:rsid w:val="00B115A6"/>
    <w:rsid w:val="00B11B0C"/>
    <w:rsid w:val="00B11E78"/>
    <w:rsid w:val="00B127BA"/>
    <w:rsid w:val="00B12E34"/>
    <w:rsid w:val="00B147B6"/>
    <w:rsid w:val="00B16BD0"/>
    <w:rsid w:val="00B16EBA"/>
    <w:rsid w:val="00B173F0"/>
    <w:rsid w:val="00B17B1A"/>
    <w:rsid w:val="00B17E3F"/>
    <w:rsid w:val="00B20E43"/>
    <w:rsid w:val="00B24E69"/>
    <w:rsid w:val="00B25D27"/>
    <w:rsid w:val="00B314B8"/>
    <w:rsid w:val="00B32521"/>
    <w:rsid w:val="00B32DCB"/>
    <w:rsid w:val="00B340A4"/>
    <w:rsid w:val="00B35B3B"/>
    <w:rsid w:val="00B36156"/>
    <w:rsid w:val="00B369D0"/>
    <w:rsid w:val="00B37353"/>
    <w:rsid w:val="00B401BD"/>
    <w:rsid w:val="00B4059C"/>
    <w:rsid w:val="00B426CA"/>
    <w:rsid w:val="00B44B06"/>
    <w:rsid w:val="00B455A6"/>
    <w:rsid w:val="00B46A52"/>
    <w:rsid w:val="00B46B1A"/>
    <w:rsid w:val="00B475D6"/>
    <w:rsid w:val="00B47601"/>
    <w:rsid w:val="00B47FB3"/>
    <w:rsid w:val="00B5169D"/>
    <w:rsid w:val="00B51BED"/>
    <w:rsid w:val="00B526A9"/>
    <w:rsid w:val="00B53158"/>
    <w:rsid w:val="00B54411"/>
    <w:rsid w:val="00B5643E"/>
    <w:rsid w:val="00B56906"/>
    <w:rsid w:val="00B56B6C"/>
    <w:rsid w:val="00B56D4C"/>
    <w:rsid w:val="00B56D60"/>
    <w:rsid w:val="00B56E03"/>
    <w:rsid w:val="00B57BC0"/>
    <w:rsid w:val="00B57E9D"/>
    <w:rsid w:val="00B6044B"/>
    <w:rsid w:val="00B604BF"/>
    <w:rsid w:val="00B60BC4"/>
    <w:rsid w:val="00B61F48"/>
    <w:rsid w:val="00B62183"/>
    <w:rsid w:val="00B624A0"/>
    <w:rsid w:val="00B62C69"/>
    <w:rsid w:val="00B63E96"/>
    <w:rsid w:val="00B644AA"/>
    <w:rsid w:val="00B6569C"/>
    <w:rsid w:val="00B65846"/>
    <w:rsid w:val="00B65EFE"/>
    <w:rsid w:val="00B66312"/>
    <w:rsid w:val="00B66868"/>
    <w:rsid w:val="00B66ECE"/>
    <w:rsid w:val="00B67201"/>
    <w:rsid w:val="00B676B9"/>
    <w:rsid w:val="00B6779C"/>
    <w:rsid w:val="00B67AFF"/>
    <w:rsid w:val="00B67F72"/>
    <w:rsid w:val="00B7017E"/>
    <w:rsid w:val="00B70A7E"/>
    <w:rsid w:val="00B710D0"/>
    <w:rsid w:val="00B7130A"/>
    <w:rsid w:val="00B72586"/>
    <w:rsid w:val="00B7318D"/>
    <w:rsid w:val="00B73359"/>
    <w:rsid w:val="00B734B5"/>
    <w:rsid w:val="00B80093"/>
    <w:rsid w:val="00B80876"/>
    <w:rsid w:val="00B8102A"/>
    <w:rsid w:val="00B81541"/>
    <w:rsid w:val="00B82732"/>
    <w:rsid w:val="00B8280D"/>
    <w:rsid w:val="00B8308A"/>
    <w:rsid w:val="00B83491"/>
    <w:rsid w:val="00B83F9E"/>
    <w:rsid w:val="00B85124"/>
    <w:rsid w:val="00B8564B"/>
    <w:rsid w:val="00B85908"/>
    <w:rsid w:val="00B861A0"/>
    <w:rsid w:val="00B87BC0"/>
    <w:rsid w:val="00B9053C"/>
    <w:rsid w:val="00B90558"/>
    <w:rsid w:val="00B90EED"/>
    <w:rsid w:val="00B91123"/>
    <w:rsid w:val="00B91B40"/>
    <w:rsid w:val="00B9233E"/>
    <w:rsid w:val="00B93F5C"/>
    <w:rsid w:val="00B94AD5"/>
    <w:rsid w:val="00B95ECF"/>
    <w:rsid w:val="00B9608D"/>
    <w:rsid w:val="00B9643F"/>
    <w:rsid w:val="00BA0CBD"/>
    <w:rsid w:val="00BA2125"/>
    <w:rsid w:val="00BA3BE4"/>
    <w:rsid w:val="00BA5E62"/>
    <w:rsid w:val="00BA61BB"/>
    <w:rsid w:val="00BA67BC"/>
    <w:rsid w:val="00BA6D4C"/>
    <w:rsid w:val="00BB00A2"/>
    <w:rsid w:val="00BB03DA"/>
    <w:rsid w:val="00BB08DA"/>
    <w:rsid w:val="00BB10B9"/>
    <w:rsid w:val="00BB1CF1"/>
    <w:rsid w:val="00BB27B3"/>
    <w:rsid w:val="00BB3471"/>
    <w:rsid w:val="00BB411E"/>
    <w:rsid w:val="00BB43E5"/>
    <w:rsid w:val="00BB4DF7"/>
    <w:rsid w:val="00BB5097"/>
    <w:rsid w:val="00BB53E2"/>
    <w:rsid w:val="00BB5BDE"/>
    <w:rsid w:val="00BB5CA0"/>
    <w:rsid w:val="00BB64A3"/>
    <w:rsid w:val="00BB7D82"/>
    <w:rsid w:val="00BC0474"/>
    <w:rsid w:val="00BC2F32"/>
    <w:rsid w:val="00BC3F92"/>
    <w:rsid w:val="00BC54DC"/>
    <w:rsid w:val="00BC6E1E"/>
    <w:rsid w:val="00BC7C1F"/>
    <w:rsid w:val="00BD105B"/>
    <w:rsid w:val="00BD3B78"/>
    <w:rsid w:val="00BD5791"/>
    <w:rsid w:val="00BD5DB3"/>
    <w:rsid w:val="00BE0127"/>
    <w:rsid w:val="00BE0694"/>
    <w:rsid w:val="00BE127D"/>
    <w:rsid w:val="00BE142B"/>
    <w:rsid w:val="00BE1864"/>
    <w:rsid w:val="00BE1F9B"/>
    <w:rsid w:val="00BE2C8A"/>
    <w:rsid w:val="00BE33F0"/>
    <w:rsid w:val="00BE37FD"/>
    <w:rsid w:val="00BE3D65"/>
    <w:rsid w:val="00BE4ED0"/>
    <w:rsid w:val="00BE50BC"/>
    <w:rsid w:val="00BE6798"/>
    <w:rsid w:val="00BF0AF3"/>
    <w:rsid w:val="00BF20BC"/>
    <w:rsid w:val="00BF20F8"/>
    <w:rsid w:val="00BF3226"/>
    <w:rsid w:val="00BF44FB"/>
    <w:rsid w:val="00BF4BA5"/>
    <w:rsid w:val="00BF4C9B"/>
    <w:rsid w:val="00BF5172"/>
    <w:rsid w:val="00BF5E91"/>
    <w:rsid w:val="00BF7F60"/>
    <w:rsid w:val="00C003CF"/>
    <w:rsid w:val="00C004D0"/>
    <w:rsid w:val="00C00D29"/>
    <w:rsid w:val="00C01ED7"/>
    <w:rsid w:val="00C0241D"/>
    <w:rsid w:val="00C03197"/>
    <w:rsid w:val="00C0338D"/>
    <w:rsid w:val="00C03B0E"/>
    <w:rsid w:val="00C05823"/>
    <w:rsid w:val="00C06A04"/>
    <w:rsid w:val="00C07111"/>
    <w:rsid w:val="00C10B5E"/>
    <w:rsid w:val="00C134C0"/>
    <w:rsid w:val="00C1357E"/>
    <w:rsid w:val="00C13B90"/>
    <w:rsid w:val="00C13FE7"/>
    <w:rsid w:val="00C1420F"/>
    <w:rsid w:val="00C14B7A"/>
    <w:rsid w:val="00C15EE3"/>
    <w:rsid w:val="00C16860"/>
    <w:rsid w:val="00C175F6"/>
    <w:rsid w:val="00C17C97"/>
    <w:rsid w:val="00C2040B"/>
    <w:rsid w:val="00C207AA"/>
    <w:rsid w:val="00C20F64"/>
    <w:rsid w:val="00C21043"/>
    <w:rsid w:val="00C210F3"/>
    <w:rsid w:val="00C21348"/>
    <w:rsid w:val="00C22361"/>
    <w:rsid w:val="00C22EBC"/>
    <w:rsid w:val="00C236A2"/>
    <w:rsid w:val="00C23BE2"/>
    <w:rsid w:val="00C23C0C"/>
    <w:rsid w:val="00C24451"/>
    <w:rsid w:val="00C25A15"/>
    <w:rsid w:val="00C272FF"/>
    <w:rsid w:val="00C2756E"/>
    <w:rsid w:val="00C2771B"/>
    <w:rsid w:val="00C27BAD"/>
    <w:rsid w:val="00C3026D"/>
    <w:rsid w:val="00C30F12"/>
    <w:rsid w:val="00C31581"/>
    <w:rsid w:val="00C3222F"/>
    <w:rsid w:val="00C3285C"/>
    <w:rsid w:val="00C33A95"/>
    <w:rsid w:val="00C34473"/>
    <w:rsid w:val="00C34938"/>
    <w:rsid w:val="00C349FE"/>
    <w:rsid w:val="00C373DC"/>
    <w:rsid w:val="00C37716"/>
    <w:rsid w:val="00C37FAB"/>
    <w:rsid w:val="00C40835"/>
    <w:rsid w:val="00C40B53"/>
    <w:rsid w:val="00C4380A"/>
    <w:rsid w:val="00C446B4"/>
    <w:rsid w:val="00C45C95"/>
    <w:rsid w:val="00C45FD0"/>
    <w:rsid w:val="00C47189"/>
    <w:rsid w:val="00C50937"/>
    <w:rsid w:val="00C51040"/>
    <w:rsid w:val="00C51BD5"/>
    <w:rsid w:val="00C53288"/>
    <w:rsid w:val="00C536CB"/>
    <w:rsid w:val="00C551EE"/>
    <w:rsid w:val="00C555AD"/>
    <w:rsid w:val="00C55EA7"/>
    <w:rsid w:val="00C56270"/>
    <w:rsid w:val="00C56B1A"/>
    <w:rsid w:val="00C57244"/>
    <w:rsid w:val="00C578B8"/>
    <w:rsid w:val="00C57EE1"/>
    <w:rsid w:val="00C60EF1"/>
    <w:rsid w:val="00C60F4A"/>
    <w:rsid w:val="00C6131F"/>
    <w:rsid w:val="00C61C30"/>
    <w:rsid w:val="00C62235"/>
    <w:rsid w:val="00C62251"/>
    <w:rsid w:val="00C6228A"/>
    <w:rsid w:val="00C63A7B"/>
    <w:rsid w:val="00C63BA5"/>
    <w:rsid w:val="00C63C83"/>
    <w:rsid w:val="00C64248"/>
    <w:rsid w:val="00C6524B"/>
    <w:rsid w:val="00C65C9D"/>
    <w:rsid w:val="00C65CBF"/>
    <w:rsid w:val="00C66662"/>
    <w:rsid w:val="00C66EEC"/>
    <w:rsid w:val="00C6711E"/>
    <w:rsid w:val="00C71047"/>
    <w:rsid w:val="00C71371"/>
    <w:rsid w:val="00C71E66"/>
    <w:rsid w:val="00C72C15"/>
    <w:rsid w:val="00C736CF"/>
    <w:rsid w:val="00C7432A"/>
    <w:rsid w:val="00C756EE"/>
    <w:rsid w:val="00C76A47"/>
    <w:rsid w:val="00C76AFB"/>
    <w:rsid w:val="00C77408"/>
    <w:rsid w:val="00C80DD7"/>
    <w:rsid w:val="00C81424"/>
    <w:rsid w:val="00C816AE"/>
    <w:rsid w:val="00C82082"/>
    <w:rsid w:val="00C8225F"/>
    <w:rsid w:val="00C8317E"/>
    <w:rsid w:val="00C8463F"/>
    <w:rsid w:val="00C85189"/>
    <w:rsid w:val="00C85896"/>
    <w:rsid w:val="00C862EC"/>
    <w:rsid w:val="00C86A67"/>
    <w:rsid w:val="00C87331"/>
    <w:rsid w:val="00C87678"/>
    <w:rsid w:val="00C879E7"/>
    <w:rsid w:val="00C906A0"/>
    <w:rsid w:val="00C90BAC"/>
    <w:rsid w:val="00C92804"/>
    <w:rsid w:val="00C9507C"/>
    <w:rsid w:val="00C96010"/>
    <w:rsid w:val="00C97226"/>
    <w:rsid w:val="00CA08AE"/>
    <w:rsid w:val="00CA0C0C"/>
    <w:rsid w:val="00CA1C4B"/>
    <w:rsid w:val="00CA2700"/>
    <w:rsid w:val="00CA3847"/>
    <w:rsid w:val="00CA3AB6"/>
    <w:rsid w:val="00CA3E19"/>
    <w:rsid w:val="00CA4245"/>
    <w:rsid w:val="00CA4398"/>
    <w:rsid w:val="00CA4508"/>
    <w:rsid w:val="00CA4783"/>
    <w:rsid w:val="00CA60DF"/>
    <w:rsid w:val="00CA6D57"/>
    <w:rsid w:val="00CA7188"/>
    <w:rsid w:val="00CA76EC"/>
    <w:rsid w:val="00CA7B91"/>
    <w:rsid w:val="00CB0697"/>
    <w:rsid w:val="00CB0F33"/>
    <w:rsid w:val="00CB153B"/>
    <w:rsid w:val="00CB1A14"/>
    <w:rsid w:val="00CB1C66"/>
    <w:rsid w:val="00CB1FD6"/>
    <w:rsid w:val="00CB3307"/>
    <w:rsid w:val="00CB3399"/>
    <w:rsid w:val="00CB37BA"/>
    <w:rsid w:val="00CB3DC6"/>
    <w:rsid w:val="00CB5675"/>
    <w:rsid w:val="00CB5F23"/>
    <w:rsid w:val="00CB6417"/>
    <w:rsid w:val="00CB742D"/>
    <w:rsid w:val="00CB79E6"/>
    <w:rsid w:val="00CB7EDD"/>
    <w:rsid w:val="00CC117B"/>
    <w:rsid w:val="00CC1C60"/>
    <w:rsid w:val="00CC2278"/>
    <w:rsid w:val="00CC2A53"/>
    <w:rsid w:val="00CC2E5A"/>
    <w:rsid w:val="00CC46B8"/>
    <w:rsid w:val="00CC4F6A"/>
    <w:rsid w:val="00CC53F4"/>
    <w:rsid w:val="00CC55F3"/>
    <w:rsid w:val="00CC70D8"/>
    <w:rsid w:val="00CC75C2"/>
    <w:rsid w:val="00CC7A12"/>
    <w:rsid w:val="00CC7F86"/>
    <w:rsid w:val="00CD03E3"/>
    <w:rsid w:val="00CD160C"/>
    <w:rsid w:val="00CD1955"/>
    <w:rsid w:val="00CD20F8"/>
    <w:rsid w:val="00CD2570"/>
    <w:rsid w:val="00CD3325"/>
    <w:rsid w:val="00CD34AB"/>
    <w:rsid w:val="00CD4A06"/>
    <w:rsid w:val="00CD4F62"/>
    <w:rsid w:val="00CD5596"/>
    <w:rsid w:val="00CD6131"/>
    <w:rsid w:val="00CD61EC"/>
    <w:rsid w:val="00CD76E3"/>
    <w:rsid w:val="00CD7B80"/>
    <w:rsid w:val="00CD7C3C"/>
    <w:rsid w:val="00CE24AF"/>
    <w:rsid w:val="00CE5CE2"/>
    <w:rsid w:val="00CE6234"/>
    <w:rsid w:val="00CE7090"/>
    <w:rsid w:val="00CE7D53"/>
    <w:rsid w:val="00CF0E29"/>
    <w:rsid w:val="00CF1553"/>
    <w:rsid w:val="00CF1CD4"/>
    <w:rsid w:val="00CF3114"/>
    <w:rsid w:val="00CF49B2"/>
    <w:rsid w:val="00CF4C30"/>
    <w:rsid w:val="00CF6E52"/>
    <w:rsid w:val="00CF6EEA"/>
    <w:rsid w:val="00CF7310"/>
    <w:rsid w:val="00CF74A2"/>
    <w:rsid w:val="00D00E2F"/>
    <w:rsid w:val="00D01520"/>
    <w:rsid w:val="00D01C37"/>
    <w:rsid w:val="00D02E67"/>
    <w:rsid w:val="00D03DE3"/>
    <w:rsid w:val="00D043F7"/>
    <w:rsid w:val="00D04A88"/>
    <w:rsid w:val="00D04D2E"/>
    <w:rsid w:val="00D0724E"/>
    <w:rsid w:val="00D078A8"/>
    <w:rsid w:val="00D104DF"/>
    <w:rsid w:val="00D11E3C"/>
    <w:rsid w:val="00D1353E"/>
    <w:rsid w:val="00D13CF3"/>
    <w:rsid w:val="00D13ECB"/>
    <w:rsid w:val="00D14290"/>
    <w:rsid w:val="00D15134"/>
    <w:rsid w:val="00D15525"/>
    <w:rsid w:val="00D15533"/>
    <w:rsid w:val="00D15695"/>
    <w:rsid w:val="00D15CCF"/>
    <w:rsid w:val="00D16038"/>
    <w:rsid w:val="00D16104"/>
    <w:rsid w:val="00D1648C"/>
    <w:rsid w:val="00D2035B"/>
    <w:rsid w:val="00D20E04"/>
    <w:rsid w:val="00D22475"/>
    <w:rsid w:val="00D227D7"/>
    <w:rsid w:val="00D22D9F"/>
    <w:rsid w:val="00D23F51"/>
    <w:rsid w:val="00D24237"/>
    <w:rsid w:val="00D24DF9"/>
    <w:rsid w:val="00D24F86"/>
    <w:rsid w:val="00D25184"/>
    <w:rsid w:val="00D25367"/>
    <w:rsid w:val="00D262CB"/>
    <w:rsid w:val="00D26404"/>
    <w:rsid w:val="00D30DFB"/>
    <w:rsid w:val="00D31C5D"/>
    <w:rsid w:val="00D33AD7"/>
    <w:rsid w:val="00D35175"/>
    <w:rsid w:val="00D35439"/>
    <w:rsid w:val="00D35602"/>
    <w:rsid w:val="00D357CC"/>
    <w:rsid w:val="00D3642A"/>
    <w:rsid w:val="00D37B89"/>
    <w:rsid w:val="00D37B94"/>
    <w:rsid w:val="00D405F5"/>
    <w:rsid w:val="00D41BE6"/>
    <w:rsid w:val="00D42278"/>
    <w:rsid w:val="00D426FD"/>
    <w:rsid w:val="00D42759"/>
    <w:rsid w:val="00D44145"/>
    <w:rsid w:val="00D453DB"/>
    <w:rsid w:val="00D45D51"/>
    <w:rsid w:val="00D45F02"/>
    <w:rsid w:val="00D4684E"/>
    <w:rsid w:val="00D472AF"/>
    <w:rsid w:val="00D47DEC"/>
    <w:rsid w:val="00D506BF"/>
    <w:rsid w:val="00D512DB"/>
    <w:rsid w:val="00D51555"/>
    <w:rsid w:val="00D5305D"/>
    <w:rsid w:val="00D53EF6"/>
    <w:rsid w:val="00D541E5"/>
    <w:rsid w:val="00D55698"/>
    <w:rsid w:val="00D556F9"/>
    <w:rsid w:val="00D56018"/>
    <w:rsid w:val="00D566ED"/>
    <w:rsid w:val="00D568E2"/>
    <w:rsid w:val="00D57E95"/>
    <w:rsid w:val="00D60C59"/>
    <w:rsid w:val="00D619E1"/>
    <w:rsid w:val="00D62563"/>
    <w:rsid w:val="00D640BD"/>
    <w:rsid w:val="00D6466C"/>
    <w:rsid w:val="00D647B3"/>
    <w:rsid w:val="00D652F0"/>
    <w:rsid w:val="00D67086"/>
    <w:rsid w:val="00D70A3D"/>
    <w:rsid w:val="00D71F68"/>
    <w:rsid w:val="00D72BAF"/>
    <w:rsid w:val="00D73657"/>
    <w:rsid w:val="00D73CFA"/>
    <w:rsid w:val="00D73E5C"/>
    <w:rsid w:val="00D7494A"/>
    <w:rsid w:val="00D7624A"/>
    <w:rsid w:val="00D7628C"/>
    <w:rsid w:val="00D7660B"/>
    <w:rsid w:val="00D766E5"/>
    <w:rsid w:val="00D76EE4"/>
    <w:rsid w:val="00D77129"/>
    <w:rsid w:val="00D775B6"/>
    <w:rsid w:val="00D7774C"/>
    <w:rsid w:val="00D80175"/>
    <w:rsid w:val="00D80216"/>
    <w:rsid w:val="00D80A1D"/>
    <w:rsid w:val="00D813BA"/>
    <w:rsid w:val="00D8182A"/>
    <w:rsid w:val="00D81B2E"/>
    <w:rsid w:val="00D8200B"/>
    <w:rsid w:val="00D82629"/>
    <w:rsid w:val="00D84004"/>
    <w:rsid w:val="00D84B73"/>
    <w:rsid w:val="00D860A0"/>
    <w:rsid w:val="00D867DA"/>
    <w:rsid w:val="00D86AB3"/>
    <w:rsid w:val="00D87860"/>
    <w:rsid w:val="00D87D7A"/>
    <w:rsid w:val="00D92191"/>
    <w:rsid w:val="00D93490"/>
    <w:rsid w:val="00D94D6B"/>
    <w:rsid w:val="00D95625"/>
    <w:rsid w:val="00D957D1"/>
    <w:rsid w:val="00D96311"/>
    <w:rsid w:val="00D96795"/>
    <w:rsid w:val="00D97215"/>
    <w:rsid w:val="00D9721D"/>
    <w:rsid w:val="00D9761C"/>
    <w:rsid w:val="00DA1646"/>
    <w:rsid w:val="00DA42E5"/>
    <w:rsid w:val="00DA4FDD"/>
    <w:rsid w:val="00DA5934"/>
    <w:rsid w:val="00DA6BF6"/>
    <w:rsid w:val="00DA7142"/>
    <w:rsid w:val="00DB0834"/>
    <w:rsid w:val="00DB0F42"/>
    <w:rsid w:val="00DB147F"/>
    <w:rsid w:val="00DB2C18"/>
    <w:rsid w:val="00DB3811"/>
    <w:rsid w:val="00DB3D1D"/>
    <w:rsid w:val="00DB4EF6"/>
    <w:rsid w:val="00DB5B44"/>
    <w:rsid w:val="00DB5FA0"/>
    <w:rsid w:val="00DB625D"/>
    <w:rsid w:val="00DC0299"/>
    <w:rsid w:val="00DC0969"/>
    <w:rsid w:val="00DC10D1"/>
    <w:rsid w:val="00DC1310"/>
    <w:rsid w:val="00DC15E7"/>
    <w:rsid w:val="00DC298F"/>
    <w:rsid w:val="00DC2D3A"/>
    <w:rsid w:val="00DC312B"/>
    <w:rsid w:val="00DC4289"/>
    <w:rsid w:val="00DC4F4C"/>
    <w:rsid w:val="00DC5062"/>
    <w:rsid w:val="00DC5256"/>
    <w:rsid w:val="00DC607D"/>
    <w:rsid w:val="00DC769C"/>
    <w:rsid w:val="00DD02FC"/>
    <w:rsid w:val="00DD1035"/>
    <w:rsid w:val="00DD167B"/>
    <w:rsid w:val="00DD1C9D"/>
    <w:rsid w:val="00DD235F"/>
    <w:rsid w:val="00DD4184"/>
    <w:rsid w:val="00DD4920"/>
    <w:rsid w:val="00DD504A"/>
    <w:rsid w:val="00DD6CED"/>
    <w:rsid w:val="00DD7BCB"/>
    <w:rsid w:val="00DD7F18"/>
    <w:rsid w:val="00DE0364"/>
    <w:rsid w:val="00DE11A0"/>
    <w:rsid w:val="00DE12CA"/>
    <w:rsid w:val="00DE2E8E"/>
    <w:rsid w:val="00DE3C0E"/>
    <w:rsid w:val="00DE3D75"/>
    <w:rsid w:val="00DE3E7B"/>
    <w:rsid w:val="00DE465E"/>
    <w:rsid w:val="00DE4BDB"/>
    <w:rsid w:val="00DE5112"/>
    <w:rsid w:val="00DE5C4A"/>
    <w:rsid w:val="00DE6AAD"/>
    <w:rsid w:val="00DE7143"/>
    <w:rsid w:val="00DE724E"/>
    <w:rsid w:val="00DF0247"/>
    <w:rsid w:val="00DF052C"/>
    <w:rsid w:val="00DF1246"/>
    <w:rsid w:val="00DF2FF4"/>
    <w:rsid w:val="00DF72BD"/>
    <w:rsid w:val="00DF7EA4"/>
    <w:rsid w:val="00E00244"/>
    <w:rsid w:val="00E01C98"/>
    <w:rsid w:val="00E04DC9"/>
    <w:rsid w:val="00E050A5"/>
    <w:rsid w:val="00E0541D"/>
    <w:rsid w:val="00E0681C"/>
    <w:rsid w:val="00E06D3C"/>
    <w:rsid w:val="00E07B4C"/>
    <w:rsid w:val="00E07B74"/>
    <w:rsid w:val="00E11537"/>
    <w:rsid w:val="00E11BEC"/>
    <w:rsid w:val="00E13263"/>
    <w:rsid w:val="00E1480D"/>
    <w:rsid w:val="00E15387"/>
    <w:rsid w:val="00E1544F"/>
    <w:rsid w:val="00E15EFC"/>
    <w:rsid w:val="00E16DF4"/>
    <w:rsid w:val="00E17D20"/>
    <w:rsid w:val="00E202EE"/>
    <w:rsid w:val="00E211C2"/>
    <w:rsid w:val="00E22745"/>
    <w:rsid w:val="00E23516"/>
    <w:rsid w:val="00E26355"/>
    <w:rsid w:val="00E27540"/>
    <w:rsid w:val="00E277C3"/>
    <w:rsid w:val="00E27860"/>
    <w:rsid w:val="00E27C96"/>
    <w:rsid w:val="00E30F96"/>
    <w:rsid w:val="00E322F0"/>
    <w:rsid w:val="00E334A5"/>
    <w:rsid w:val="00E33BC8"/>
    <w:rsid w:val="00E342DA"/>
    <w:rsid w:val="00E34437"/>
    <w:rsid w:val="00E34630"/>
    <w:rsid w:val="00E348E5"/>
    <w:rsid w:val="00E372EA"/>
    <w:rsid w:val="00E37653"/>
    <w:rsid w:val="00E4206D"/>
    <w:rsid w:val="00E42E6D"/>
    <w:rsid w:val="00E43427"/>
    <w:rsid w:val="00E43667"/>
    <w:rsid w:val="00E45A0F"/>
    <w:rsid w:val="00E45CC6"/>
    <w:rsid w:val="00E4728C"/>
    <w:rsid w:val="00E47D5A"/>
    <w:rsid w:val="00E5006A"/>
    <w:rsid w:val="00E5029D"/>
    <w:rsid w:val="00E506C5"/>
    <w:rsid w:val="00E50CDE"/>
    <w:rsid w:val="00E515A7"/>
    <w:rsid w:val="00E520F4"/>
    <w:rsid w:val="00E529E7"/>
    <w:rsid w:val="00E52A7B"/>
    <w:rsid w:val="00E53423"/>
    <w:rsid w:val="00E5385A"/>
    <w:rsid w:val="00E546E3"/>
    <w:rsid w:val="00E555D3"/>
    <w:rsid w:val="00E56DA5"/>
    <w:rsid w:val="00E601C7"/>
    <w:rsid w:val="00E605E6"/>
    <w:rsid w:val="00E610F4"/>
    <w:rsid w:val="00E62621"/>
    <w:rsid w:val="00E63EFC"/>
    <w:rsid w:val="00E64372"/>
    <w:rsid w:val="00E66359"/>
    <w:rsid w:val="00E66E77"/>
    <w:rsid w:val="00E67B87"/>
    <w:rsid w:val="00E70237"/>
    <w:rsid w:val="00E7207E"/>
    <w:rsid w:val="00E72D55"/>
    <w:rsid w:val="00E73242"/>
    <w:rsid w:val="00E73729"/>
    <w:rsid w:val="00E75EC8"/>
    <w:rsid w:val="00E75F74"/>
    <w:rsid w:val="00E771A3"/>
    <w:rsid w:val="00E77409"/>
    <w:rsid w:val="00E80B76"/>
    <w:rsid w:val="00E80D56"/>
    <w:rsid w:val="00E8126F"/>
    <w:rsid w:val="00E81407"/>
    <w:rsid w:val="00E81666"/>
    <w:rsid w:val="00E82FF4"/>
    <w:rsid w:val="00E8314D"/>
    <w:rsid w:val="00E83830"/>
    <w:rsid w:val="00E83972"/>
    <w:rsid w:val="00E84639"/>
    <w:rsid w:val="00E87260"/>
    <w:rsid w:val="00E90769"/>
    <w:rsid w:val="00E90935"/>
    <w:rsid w:val="00E93C2B"/>
    <w:rsid w:val="00E94B58"/>
    <w:rsid w:val="00E94D5A"/>
    <w:rsid w:val="00E95CA7"/>
    <w:rsid w:val="00E9601C"/>
    <w:rsid w:val="00E967FA"/>
    <w:rsid w:val="00E96D8D"/>
    <w:rsid w:val="00EA01CD"/>
    <w:rsid w:val="00EA033F"/>
    <w:rsid w:val="00EA13C8"/>
    <w:rsid w:val="00EA2928"/>
    <w:rsid w:val="00EA2A07"/>
    <w:rsid w:val="00EA3EE2"/>
    <w:rsid w:val="00EA42BE"/>
    <w:rsid w:val="00EA5827"/>
    <w:rsid w:val="00EA5F0A"/>
    <w:rsid w:val="00EA6036"/>
    <w:rsid w:val="00EA6855"/>
    <w:rsid w:val="00EA732B"/>
    <w:rsid w:val="00EA782F"/>
    <w:rsid w:val="00EB010A"/>
    <w:rsid w:val="00EB098C"/>
    <w:rsid w:val="00EB3FA0"/>
    <w:rsid w:val="00EB414E"/>
    <w:rsid w:val="00EB5C18"/>
    <w:rsid w:val="00EB6170"/>
    <w:rsid w:val="00EB6C60"/>
    <w:rsid w:val="00EB70B8"/>
    <w:rsid w:val="00EC1133"/>
    <w:rsid w:val="00EC1260"/>
    <w:rsid w:val="00EC1BDC"/>
    <w:rsid w:val="00EC40B2"/>
    <w:rsid w:val="00EC46ED"/>
    <w:rsid w:val="00EC482C"/>
    <w:rsid w:val="00EC62D2"/>
    <w:rsid w:val="00EC6B0A"/>
    <w:rsid w:val="00EC7125"/>
    <w:rsid w:val="00EC7DBA"/>
    <w:rsid w:val="00ED124B"/>
    <w:rsid w:val="00ED43E2"/>
    <w:rsid w:val="00ED726A"/>
    <w:rsid w:val="00EE0DDB"/>
    <w:rsid w:val="00EE2474"/>
    <w:rsid w:val="00EE4C21"/>
    <w:rsid w:val="00EE569E"/>
    <w:rsid w:val="00EE5763"/>
    <w:rsid w:val="00EE5A87"/>
    <w:rsid w:val="00EE62D2"/>
    <w:rsid w:val="00EE71C9"/>
    <w:rsid w:val="00EF0E87"/>
    <w:rsid w:val="00EF25FE"/>
    <w:rsid w:val="00EF2CCB"/>
    <w:rsid w:val="00EF2D3A"/>
    <w:rsid w:val="00EF31DA"/>
    <w:rsid w:val="00EF3247"/>
    <w:rsid w:val="00EF46A2"/>
    <w:rsid w:val="00EF5880"/>
    <w:rsid w:val="00EF5E0C"/>
    <w:rsid w:val="00EF6B6C"/>
    <w:rsid w:val="00EF7330"/>
    <w:rsid w:val="00EF7BEC"/>
    <w:rsid w:val="00EF7ED8"/>
    <w:rsid w:val="00F01176"/>
    <w:rsid w:val="00F02375"/>
    <w:rsid w:val="00F02FF3"/>
    <w:rsid w:val="00F03429"/>
    <w:rsid w:val="00F03C4D"/>
    <w:rsid w:val="00F03E34"/>
    <w:rsid w:val="00F040DD"/>
    <w:rsid w:val="00F044C4"/>
    <w:rsid w:val="00F054A1"/>
    <w:rsid w:val="00F06489"/>
    <w:rsid w:val="00F06A2B"/>
    <w:rsid w:val="00F06FCD"/>
    <w:rsid w:val="00F10F7D"/>
    <w:rsid w:val="00F115DC"/>
    <w:rsid w:val="00F11B25"/>
    <w:rsid w:val="00F1232F"/>
    <w:rsid w:val="00F125A9"/>
    <w:rsid w:val="00F12C4E"/>
    <w:rsid w:val="00F148F8"/>
    <w:rsid w:val="00F15CFB"/>
    <w:rsid w:val="00F16EC5"/>
    <w:rsid w:val="00F17894"/>
    <w:rsid w:val="00F20023"/>
    <w:rsid w:val="00F2116C"/>
    <w:rsid w:val="00F21AC3"/>
    <w:rsid w:val="00F22A9D"/>
    <w:rsid w:val="00F24280"/>
    <w:rsid w:val="00F25CDE"/>
    <w:rsid w:val="00F2713B"/>
    <w:rsid w:val="00F275A6"/>
    <w:rsid w:val="00F31C76"/>
    <w:rsid w:val="00F31F65"/>
    <w:rsid w:val="00F320C0"/>
    <w:rsid w:val="00F329F1"/>
    <w:rsid w:val="00F338A6"/>
    <w:rsid w:val="00F33ABA"/>
    <w:rsid w:val="00F33D32"/>
    <w:rsid w:val="00F3496A"/>
    <w:rsid w:val="00F34E42"/>
    <w:rsid w:val="00F35B8B"/>
    <w:rsid w:val="00F35BD3"/>
    <w:rsid w:val="00F369CC"/>
    <w:rsid w:val="00F36D85"/>
    <w:rsid w:val="00F37809"/>
    <w:rsid w:val="00F3786E"/>
    <w:rsid w:val="00F4112D"/>
    <w:rsid w:val="00F4179B"/>
    <w:rsid w:val="00F41A9C"/>
    <w:rsid w:val="00F4202E"/>
    <w:rsid w:val="00F42C55"/>
    <w:rsid w:val="00F430DD"/>
    <w:rsid w:val="00F449B6"/>
    <w:rsid w:val="00F45264"/>
    <w:rsid w:val="00F45486"/>
    <w:rsid w:val="00F45A22"/>
    <w:rsid w:val="00F45DDF"/>
    <w:rsid w:val="00F46C32"/>
    <w:rsid w:val="00F47C77"/>
    <w:rsid w:val="00F47CBF"/>
    <w:rsid w:val="00F47DA3"/>
    <w:rsid w:val="00F50A60"/>
    <w:rsid w:val="00F50ABB"/>
    <w:rsid w:val="00F50F68"/>
    <w:rsid w:val="00F5215F"/>
    <w:rsid w:val="00F53E45"/>
    <w:rsid w:val="00F54884"/>
    <w:rsid w:val="00F5624E"/>
    <w:rsid w:val="00F56691"/>
    <w:rsid w:val="00F569AF"/>
    <w:rsid w:val="00F5784F"/>
    <w:rsid w:val="00F61FB7"/>
    <w:rsid w:val="00F65801"/>
    <w:rsid w:val="00F66A70"/>
    <w:rsid w:val="00F71BE6"/>
    <w:rsid w:val="00F71DFD"/>
    <w:rsid w:val="00F72100"/>
    <w:rsid w:val="00F726BC"/>
    <w:rsid w:val="00F72C81"/>
    <w:rsid w:val="00F7567F"/>
    <w:rsid w:val="00F75B22"/>
    <w:rsid w:val="00F75F7C"/>
    <w:rsid w:val="00F765AC"/>
    <w:rsid w:val="00F804E0"/>
    <w:rsid w:val="00F80813"/>
    <w:rsid w:val="00F81DE7"/>
    <w:rsid w:val="00F827B5"/>
    <w:rsid w:val="00F8305B"/>
    <w:rsid w:val="00F83955"/>
    <w:rsid w:val="00F83A5E"/>
    <w:rsid w:val="00F84F47"/>
    <w:rsid w:val="00F8579F"/>
    <w:rsid w:val="00F866D2"/>
    <w:rsid w:val="00F9056C"/>
    <w:rsid w:val="00F917AD"/>
    <w:rsid w:val="00F92529"/>
    <w:rsid w:val="00F9295B"/>
    <w:rsid w:val="00F92DCC"/>
    <w:rsid w:val="00F93AD3"/>
    <w:rsid w:val="00F93B8A"/>
    <w:rsid w:val="00F9523B"/>
    <w:rsid w:val="00F96372"/>
    <w:rsid w:val="00F96430"/>
    <w:rsid w:val="00F978C1"/>
    <w:rsid w:val="00FA0DDE"/>
    <w:rsid w:val="00FA1546"/>
    <w:rsid w:val="00FA17C0"/>
    <w:rsid w:val="00FA43BF"/>
    <w:rsid w:val="00FA4A4A"/>
    <w:rsid w:val="00FA6543"/>
    <w:rsid w:val="00FA754E"/>
    <w:rsid w:val="00FA7F7C"/>
    <w:rsid w:val="00FB0CA3"/>
    <w:rsid w:val="00FB102B"/>
    <w:rsid w:val="00FB124C"/>
    <w:rsid w:val="00FB1693"/>
    <w:rsid w:val="00FB2029"/>
    <w:rsid w:val="00FB2817"/>
    <w:rsid w:val="00FB2F65"/>
    <w:rsid w:val="00FB4398"/>
    <w:rsid w:val="00FB5D09"/>
    <w:rsid w:val="00FB7963"/>
    <w:rsid w:val="00FB7C6C"/>
    <w:rsid w:val="00FB7CF3"/>
    <w:rsid w:val="00FC03EE"/>
    <w:rsid w:val="00FC09E3"/>
    <w:rsid w:val="00FC1E5C"/>
    <w:rsid w:val="00FC1F5B"/>
    <w:rsid w:val="00FC2711"/>
    <w:rsid w:val="00FC2C0C"/>
    <w:rsid w:val="00FC2DFB"/>
    <w:rsid w:val="00FC3C65"/>
    <w:rsid w:val="00FC3CAB"/>
    <w:rsid w:val="00FC48B0"/>
    <w:rsid w:val="00FC53F1"/>
    <w:rsid w:val="00FC5401"/>
    <w:rsid w:val="00FC6B58"/>
    <w:rsid w:val="00FC7EAE"/>
    <w:rsid w:val="00FD13F9"/>
    <w:rsid w:val="00FD1823"/>
    <w:rsid w:val="00FD185A"/>
    <w:rsid w:val="00FD1F72"/>
    <w:rsid w:val="00FD2F24"/>
    <w:rsid w:val="00FD30BE"/>
    <w:rsid w:val="00FD35E2"/>
    <w:rsid w:val="00FD5528"/>
    <w:rsid w:val="00FD6015"/>
    <w:rsid w:val="00FD6D68"/>
    <w:rsid w:val="00FD7367"/>
    <w:rsid w:val="00FD7AB6"/>
    <w:rsid w:val="00FE005A"/>
    <w:rsid w:val="00FE05E8"/>
    <w:rsid w:val="00FE112C"/>
    <w:rsid w:val="00FE1565"/>
    <w:rsid w:val="00FE261D"/>
    <w:rsid w:val="00FE28A2"/>
    <w:rsid w:val="00FE33DC"/>
    <w:rsid w:val="00FE40E0"/>
    <w:rsid w:val="00FE46F1"/>
    <w:rsid w:val="00FE471F"/>
    <w:rsid w:val="00FE4B74"/>
    <w:rsid w:val="00FE57D1"/>
    <w:rsid w:val="00FE6395"/>
    <w:rsid w:val="00FE716B"/>
    <w:rsid w:val="00FE7200"/>
    <w:rsid w:val="00FF063B"/>
    <w:rsid w:val="00FF3505"/>
    <w:rsid w:val="00FF4C3E"/>
    <w:rsid w:val="00FF4EFA"/>
    <w:rsid w:val="00FF5038"/>
    <w:rsid w:val="012172DB"/>
    <w:rsid w:val="012C767C"/>
    <w:rsid w:val="016E3EB9"/>
    <w:rsid w:val="016F54F3"/>
    <w:rsid w:val="018A1B64"/>
    <w:rsid w:val="019E3125"/>
    <w:rsid w:val="01BA1C14"/>
    <w:rsid w:val="01BC366C"/>
    <w:rsid w:val="01C56903"/>
    <w:rsid w:val="01C715DA"/>
    <w:rsid w:val="01E0373D"/>
    <w:rsid w:val="01F66C28"/>
    <w:rsid w:val="01FC03B8"/>
    <w:rsid w:val="01FF2AB9"/>
    <w:rsid w:val="021653B1"/>
    <w:rsid w:val="02380E83"/>
    <w:rsid w:val="02511623"/>
    <w:rsid w:val="026305F6"/>
    <w:rsid w:val="02994018"/>
    <w:rsid w:val="02B5111B"/>
    <w:rsid w:val="02C25ED5"/>
    <w:rsid w:val="02D330CD"/>
    <w:rsid w:val="02DD6E97"/>
    <w:rsid w:val="02FC0103"/>
    <w:rsid w:val="03011BBD"/>
    <w:rsid w:val="030F3F6B"/>
    <w:rsid w:val="03111EA9"/>
    <w:rsid w:val="03144648"/>
    <w:rsid w:val="03661A20"/>
    <w:rsid w:val="039B5B6E"/>
    <w:rsid w:val="03A4470B"/>
    <w:rsid w:val="042B454C"/>
    <w:rsid w:val="044B15B6"/>
    <w:rsid w:val="045F1328"/>
    <w:rsid w:val="045F6B9B"/>
    <w:rsid w:val="047C4664"/>
    <w:rsid w:val="048F5D06"/>
    <w:rsid w:val="04D51B97"/>
    <w:rsid w:val="04F77BB6"/>
    <w:rsid w:val="04FB676C"/>
    <w:rsid w:val="05017C52"/>
    <w:rsid w:val="050F4522"/>
    <w:rsid w:val="052D6C99"/>
    <w:rsid w:val="0547410C"/>
    <w:rsid w:val="056337B3"/>
    <w:rsid w:val="05685F23"/>
    <w:rsid w:val="056E0609"/>
    <w:rsid w:val="05812B41"/>
    <w:rsid w:val="05850FA6"/>
    <w:rsid w:val="058B7463"/>
    <w:rsid w:val="05AC4062"/>
    <w:rsid w:val="05CA37DC"/>
    <w:rsid w:val="05DA40BA"/>
    <w:rsid w:val="05EA4DDA"/>
    <w:rsid w:val="05F41C2F"/>
    <w:rsid w:val="05F76D19"/>
    <w:rsid w:val="05FC1E4A"/>
    <w:rsid w:val="05FE6EF7"/>
    <w:rsid w:val="06287461"/>
    <w:rsid w:val="062F259D"/>
    <w:rsid w:val="063F6C84"/>
    <w:rsid w:val="064C314F"/>
    <w:rsid w:val="064F2E05"/>
    <w:rsid w:val="06532730"/>
    <w:rsid w:val="065B7836"/>
    <w:rsid w:val="066073EC"/>
    <w:rsid w:val="06693D01"/>
    <w:rsid w:val="067F3525"/>
    <w:rsid w:val="0686237C"/>
    <w:rsid w:val="06AB60C8"/>
    <w:rsid w:val="06B34CD4"/>
    <w:rsid w:val="06C62F02"/>
    <w:rsid w:val="06DF3FC3"/>
    <w:rsid w:val="070103DE"/>
    <w:rsid w:val="0708351A"/>
    <w:rsid w:val="071625F3"/>
    <w:rsid w:val="072D2F81"/>
    <w:rsid w:val="07320597"/>
    <w:rsid w:val="073A1069"/>
    <w:rsid w:val="074D44A4"/>
    <w:rsid w:val="07617BD5"/>
    <w:rsid w:val="077E37DC"/>
    <w:rsid w:val="078A0DF5"/>
    <w:rsid w:val="079E69A8"/>
    <w:rsid w:val="07C045F9"/>
    <w:rsid w:val="07D17DB0"/>
    <w:rsid w:val="083245C7"/>
    <w:rsid w:val="084038D7"/>
    <w:rsid w:val="085140B5"/>
    <w:rsid w:val="085D2A3A"/>
    <w:rsid w:val="087462AE"/>
    <w:rsid w:val="08FB2C0B"/>
    <w:rsid w:val="08FD6187"/>
    <w:rsid w:val="091647BE"/>
    <w:rsid w:val="092A17AF"/>
    <w:rsid w:val="09371E95"/>
    <w:rsid w:val="093E14AA"/>
    <w:rsid w:val="094B5D88"/>
    <w:rsid w:val="095150FA"/>
    <w:rsid w:val="09664FE7"/>
    <w:rsid w:val="0978425B"/>
    <w:rsid w:val="099D025E"/>
    <w:rsid w:val="09B10AC1"/>
    <w:rsid w:val="09C0632E"/>
    <w:rsid w:val="09D27E0F"/>
    <w:rsid w:val="09F417D4"/>
    <w:rsid w:val="0A2D3298"/>
    <w:rsid w:val="0A426E2A"/>
    <w:rsid w:val="0A652A31"/>
    <w:rsid w:val="0A6A2A4B"/>
    <w:rsid w:val="0A6E5D8A"/>
    <w:rsid w:val="0A8F7AAE"/>
    <w:rsid w:val="0A9D3389"/>
    <w:rsid w:val="0B0B0A2A"/>
    <w:rsid w:val="0B154F82"/>
    <w:rsid w:val="0B1F0E32"/>
    <w:rsid w:val="0B330D82"/>
    <w:rsid w:val="0B3A3EBE"/>
    <w:rsid w:val="0B487312"/>
    <w:rsid w:val="0B69473A"/>
    <w:rsid w:val="0B7C073E"/>
    <w:rsid w:val="0B834620"/>
    <w:rsid w:val="0B8A55BE"/>
    <w:rsid w:val="0BA80E28"/>
    <w:rsid w:val="0BBB7CF0"/>
    <w:rsid w:val="0C0A7D34"/>
    <w:rsid w:val="0C1A784C"/>
    <w:rsid w:val="0C3F6C9B"/>
    <w:rsid w:val="0C50326D"/>
    <w:rsid w:val="0C526FE5"/>
    <w:rsid w:val="0C5C177D"/>
    <w:rsid w:val="0C621E43"/>
    <w:rsid w:val="0C742F6E"/>
    <w:rsid w:val="0C8A27A7"/>
    <w:rsid w:val="0C99751F"/>
    <w:rsid w:val="0CB02A4E"/>
    <w:rsid w:val="0CDA7707"/>
    <w:rsid w:val="0CED040D"/>
    <w:rsid w:val="0CEE2E7D"/>
    <w:rsid w:val="0D164155"/>
    <w:rsid w:val="0D200E92"/>
    <w:rsid w:val="0D34161D"/>
    <w:rsid w:val="0D474EC2"/>
    <w:rsid w:val="0D6B4803"/>
    <w:rsid w:val="0D752A39"/>
    <w:rsid w:val="0D892CAF"/>
    <w:rsid w:val="0D961154"/>
    <w:rsid w:val="0DA32390"/>
    <w:rsid w:val="0DC3421D"/>
    <w:rsid w:val="0DD57ECE"/>
    <w:rsid w:val="0E2B3F92"/>
    <w:rsid w:val="0E35096D"/>
    <w:rsid w:val="0E501057"/>
    <w:rsid w:val="0E574D87"/>
    <w:rsid w:val="0E6E20C5"/>
    <w:rsid w:val="0E884F40"/>
    <w:rsid w:val="0EEF792D"/>
    <w:rsid w:val="0EF13EB7"/>
    <w:rsid w:val="0F1E2584"/>
    <w:rsid w:val="0F20786F"/>
    <w:rsid w:val="0F317E1B"/>
    <w:rsid w:val="0F362BEE"/>
    <w:rsid w:val="0F651E25"/>
    <w:rsid w:val="0F8264DD"/>
    <w:rsid w:val="0F83228E"/>
    <w:rsid w:val="0F917E25"/>
    <w:rsid w:val="0FB32491"/>
    <w:rsid w:val="0FD77F2D"/>
    <w:rsid w:val="0FDA5C70"/>
    <w:rsid w:val="100B31A6"/>
    <w:rsid w:val="101448F5"/>
    <w:rsid w:val="101C7C4F"/>
    <w:rsid w:val="103F7DEB"/>
    <w:rsid w:val="106A092D"/>
    <w:rsid w:val="108F6A5A"/>
    <w:rsid w:val="10933462"/>
    <w:rsid w:val="11496C09"/>
    <w:rsid w:val="1151333C"/>
    <w:rsid w:val="117D4B05"/>
    <w:rsid w:val="11902A8A"/>
    <w:rsid w:val="11967974"/>
    <w:rsid w:val="119A3908"/>
    <w:rsid w:val="11B304FD"/>
    <w:rsid w:val="11FA7F03"/>
    <w:rsid w:val="11FE6E0B"/>
    <w:rsid w:val="12072620"/>
    <w:rsid w:val="12127ADE"/>
    <w:rsid w:val="12301307"/>
    <w:rsid w:val="123A29F6"/>
    <w:rsid w:val="124B075F"/>
    <w:rsid w:val="12584AF5"/>
    <w:rsid w:val="12602B06"/>
    <w:rsid w:val="127759F8"/>
    <w:rsid w:val="12916191"/>
    <w:rsid w:val="12971B2C"/>
    <w:rsid w:val="12CA5B28"/>
    <w:rsid w:val="12E43A7C"/>
    <w:rsid w:val="12ED7A68"/>
    <w:rsid w:val="12FF51C3"/>
    <w:rsid w:val="13125246"/>
    <w:rsid w:val="131D13AA"/>
    <w:rsid w:val="132004B7"/>
    <w:rsid w:val="132A0CBC"/>
    <w:rsid w:val="13346AFF"/>
    <w:rsid w:val="137A067E"/>
    <w:rsid w:val="13810CB8"/>
    <w:rsid w:val="13963C5C"/>
    <w:rsid w:val="13A02D2C"/>
    <w:rsid w:val="13AB62CF"/>
    <w:rsid w:val="13AC5EC7"/>
    <w:rsid w:val="13C3364E"/>
    <w:rsid w:val="13CB7DA9"/>
    <w:rsid w:val="13E744B7"/>
    <w:rsid w:val="1402701A"/>
    <w:rsid w:val="140C2170"/>
    <w:rsid w:val="14116779"/>
    <w:rsid w:val="14396A7F"/>
    <w:rsid w:val="14396C44"/>
    <w:rsid w:val="1461070D"/>
    <w:rsid w:val="148C66E5"/>
    <w:rsid w:val="14CE64E5"/>
    <w:rsid w:val="14D0690E"/>
    <w:rsid w:val="14FD569E"/>
    <w:rsid w:val="15035D17"/>
    <w:rsid w:val="151579EA"/>
    <w:rsid w:val="151B08BC"/>
    <w:rsid w:val="154A6E5D"/>
    <w:rsid w:val="154B7A82"/>
    <w:rsid w:val="155362A8"/>
    <w:rsid w:val="15542020"/>
    <w:rsid w:val="155F4BAC"/>
    <w:rsid w:val="15642208"/>
    <w:rsid w:val="156A1844"/>
    <w:rsid w:val="15AE3283"/>
    <w:rsid w:val="15C16C66"/>
    <w:rsid w:val="15D23643"/>
    <w:rsid w:val="160457F4"/>
    <w:rsid w:val="16066C7F"/>
    <w:rsid w:val="161406DA"/>
    <w:rsid w:val="1629525B"/>
    <w:rsid w:val="164F3584"/>
    <w:rsid w:val="165322D8"/>
    <w:rsid w:val="16610551"/>
    <w:rsid w:val="168406E3"/>
    <w:rsid w:val="16A668AC"/>
    <w:rsid w:val="16C32FBA"/>
    <w:rsid w:val="16CB075C"/>
    <w:rsid w:val="16D927DD"/>
    <w:rsid w:val="16F13FCB"/>
    <w:rsid w:val="16FA5506"/>
    <w:rsid w:val="171657DF"/>
    <w:rsid w:val="171B1040"/>
    <w:rsid w:val="17280870"/>
    <w:rsid w:val="172D2B29"/>
    <w:rsid w:val="173151C4"/>
    <w:rsid w:val="179A60F6"/>
    <w:rsid w:val="17B62F89"/>
    <w:rsid w:val="17C57205"/>
    <w:rsid w:val="17FF6273"/>
    <w:rsid w:val="1836262D"/>
    <w:rsid w:val="183E26DF"/>
    <w:rsid w:val="189B7EFC"/>
    <w:rsid w:val="18BA4890"/>
    <w:rsid w:val="18D55226"/>
    <w:rsid w:val="18E84F59"/>
    <w:rsid w:val="19362169"/>
    <w:rsid w:val="19363F89"/>
    <w:rsid w:val="1939323A"/>
    <w:rsid w:val="194B7296"/>
    <w:rsid w:val="196A1E12"/>
    <w:rsid w:val="1992684E"/>
    <w:rsid w:val="19B93F90"/>
    <w:rsid w:val="19BD0194"/>
    <w:rsid w:val="19DE09C2"/>
    <w:rsid w:val="19F94F44"/>
    <w:rsid w:val="1A1B0030"/>
    <w:rsid w:val="1A20474E"/>
    <w:rsid w:val="1A3A618A"/>
    <w:rsid w:val="1A3E1C7D"/>
    <w:rsid w:val="1A4563DB"/>
    <w:rsid w:val="1A46371A"/>
    <w:rsid w:val="1A7F18ED"/>
    <w:rsid w:val="1A8C7B66"/>
    <w:rsid w:val="1A9133CF"/>
    <w:rsid w:val="1AA255DC"/>
    <w:rsid w:val="1ACB47E6"/>
    <w:rsid w:val="1AE51420"/>
    <w:rsid w:val="1AE9320B"/>
    <w:rsid w:val="1B087B35"/>
    <w:rsid w:val="1B2628EB"/>
    <w:rsid w:val="1B2B0B2B"/>
    <w:rsid w:val="1B5F73A7"/>
    <w:rsid w:val="1B632FBD"/>
    <w:rsid w:val="1B86205C"/>
    <w:rsid w:val="1BA22798"/>
    <w:rsid w:val="1BC251E8"/>
    <w:rsid w:val="1BD4567C"/>
    <w:rsid w:val="1BD72687"/>
    <w:rsid w:val="1BD821CC"/>
    <w:rsid w:val="1BF807B0"/>
    <w:rsid w:val="1BF956CF"/>
    <w:rsid w:val="1C0458B9"/>
    <w:rsid w:val="1C091D4C"/>
    <w:rsid w:val="1C0E117B"/>
    <w:rsid w:val="1C337984"/>
    <w:rsid w:val="1C4526C3"/>
    <w:rsid w:val="1C5D0F59"/>
    <w:rsid w:val="1C6E3704"/>
    <w:rsid w:val="1C7F1FF5"/>
    <w:rsid w:val="1C8E7BC6"/>
    <w:rsid w:val="1C961F3F"/>
    <w:rsid w:val="1C9B0DEC"/>
    <w:rsid w:val="1CF55E97"/>
    <w:rsid w:val="1D0F08AC"/>
    <w:rsid w:val="1D62262C"/>
    <w:rsid w:val="1D644DCB"/>
    <w:rsid w:val="1D6961F6"/>
    <w:rsid w:val="1D8F1E47"/>
    <w:rsid w:val="1DCF0496"/>
    <w:rsid w:val="1E0068A1"/>
    <w:rsid w:val="1E081BFA"/>
    <w:rsid w:val="1E0C1579"/>
    <w:rsid w:val="1E2B6BE7"/>
    <w:rsid w:val="1E3334A3"/>
    <w:rsid w:val="1E5F5CBE"/>
    <w:rsid w:val="1E7828DC"/>
    <w:rsid w:val="1E8C751D"/>
    <w:rsid w:val="1E8E11A8"/>
    <w:rsid w:val="1EBA2EF4"/>
    <w:rsid w:val="1EF43673"/>
    <w:rsid w:val="1F0255CB"/>
    <w:rsid w:val="1F2E743E"/>
    <w:rsid w:val="1F3446C1"/>
    <w:rsid w:val="1F5321E4"/>
    <w:rsid w:val="1F6669AD"/>
    <w:rsid w:val="1F7E175C"/>
    <w:rsid w:val="1F8411F7"/>
    <w:rsid w:val="1F8A1B49"/>
    <w:rsid w:val="1F9A2D26"/>
    <w:rsid w:val="1FDC4B20"/>
    <w:rsid w:val="1FF15971"/>
    <w:rsid w:val="20052895"/>
    <w:rsid w:val="20106EA7"/>
    <w:rsid w:val="201F3A55"/>
    <w:rsid w:val="204D1ECB"/>
    <w:rsid w:val="206D0BF9"/>
    <w:rsid w:val="20915ED7"/>
    <w:rsid w:val="20BC0774"/>
    <w:rsid w:val="20C14821"/>
    <w:rsid w:val="212353E4"/>
    <w:rsid w:val="215134FD"/>
    <w:rsid w:val="216B6F1F"/>
    <w:rsid w:val="217575A6"/>
    <w:rsid w:val="217C3D96"/>
    <w:rsid w:val="217E2B0A"/>
    <w:rsid w:val="21A33850"/>
    <w:rsid w:val="21AB2FC8"/>
    <w:rsid w:val="21B622BD"/>
    <w:rsid w:val="21BC51D5"/>
    <w:rsid w:val="21C3049E"/>
    <w:rsid w:val="2288155B"/>
    <w:rsid w:val="22896322"/>
    <w:rsid w:val="22C81958"/>
    <w:rsid w:val="22D66B36"/>
    <w:rsid w:val="22E06CA1"/>
    <w:rsid w:val="22F10EAE"/>
    <w:rsid w:val="23033825"/>
    <w:rsid w:val="231A5416"/>
    <w:rsid w:val="2371150A"/>
    <w:rsid w:val="237815D0"/>
    <w:rsid w:val="23887A65"/>
    <w:rsid w:val="23C27681"/>
    <w:rsid w:val="23C60845"/>
    <w:rsid w:val="23F74F28"/>
    <w:rsid w:val="24247062"/>
    <w:rsid w:val="2432352D"/>
    <w:rsid w:val="24443EFE"/>
    <w:rsid w:val="244C24FA"/>
    <w:rsid w:val="247A570E"/>
    <w:rsid w:val="247F027C"/>
    <w:rsid w:val="24885842"/>
    <w:rsid w:val="24AC2C0B"/>
    <w:rsid w:val="250F1AC0"/>
    <w:rsid w:val="25251145"/>
    <w:rsid w:val="25404A58"/>
    <w:rsid w:val="25407922"/>
    <w:rsid w:val="25694A88"/>
    <w:rsid w:val="258A1146"/>
    <w:rsid w:val="25B032A3"/>
    <w:rsid w:val="25D02FFD"/>
    <w:rsid w:val="25E13420"/>
    <w:rsid w:val="26422730"/>
    <w:rsid w:val="264E5144"/>
    <w:rsid w:val="2670658E"/>
    <w:rsid w:val="267166CF"/>
    <w:rsid w:val="26946721"/>
    <w:rsid w:val="269A2DC3"/>
    <w:rsid w:val="26A225AD"/>
    <w:rsid w:val="26AD1590"/>
    <w:rsid w:val="26CD39E1"/>
    <w:rsid w:val="26F07C83"/>
    <w:rsid w:val="270A69E3"/>
    <w:rsid w:val="27113DF2"/>
    <w:rsid w:val="27224BBC"/>
    <w:rsid w:val="274F43F6"/>
    <w:rsid w:val="276738C3"/>
    <w:rsid w:val="277434C7"/>
    <w:rsid w:val="278A1298"/>
    <w:rsid w:val="27A504B9"/>
    <w:rsid w:val="27AB3EAC"/>
    <w:rsid w:val="27D854D6"/>
    <w:rsid w:val="27DF5779"/>
    <w:rsid w:val="27F42757"/>
    <w:rsid w:val="27FD02F5"/>
    <w:rsid w:val="280E42B1"/>
    <w:rsid w:val="28133EAE"/>
    <w:rsid w:val="28257458"/>
    <w:rsid w:val="2827735A"/>
    <w:rsid w:val="282C06AB"/>
    <w:rsid w:val="28304227"/>
    <w:rsid w:val="2831008F"/>
    <w:rsid w:val="286303FD"/>
    <w:rsid w:val="28644768"/>
    <w:rsid w:val="28706D19"/>
    <w:rsid w:val="28717620"/>
    <w:rsid w:val="288B5901"/>
    <w:rsid w:val="289C26CF"/>
    <w:rsid w:val="289E4EF7"/>
    <w:rsid w:val="28A54C15"/>
    <w:rsid w:val="28BA534D"/>
    <w:rsid w:val="28E520A3"/>
    <w:rsid w:val="28ED2118"/>
    <w:rsid w:val="28F214DC"/>
    <w:rsid w:val="29015BC3"/>
    <w:rsid w:val="291C0A1C"/>
    <w:rsid w:val="292A6EC8"/>
    <w:rsid w:val="296118F6"/>
    <w:rsid w:val="298E7C18"/>
    <w:rsid w:val="29A94291"/>
    <w:rsid w:val="29B33362"/>
    <w:rsid w:val="29C54E43"/>
    <w:rsid w:val="29DB03AA"/>
    <w:rsid w:val="2A181582"/>
    <w:rsid w:val="2A1C7EEC"/>
    <w:rsid w:val="2A395428"/>
    <w:rsid w:val="2A45052D"/>
    <w:rsid w:val="2A4B1D4A"/>
    <w:rsid w:val="2A6B366E"/>
    <w:rsid w:val="2A8645D2"/>
    <w:rsid w:val="2AB96756"/>
    <w:rsid w:val="2ACB6489"/>
    <w:rsid w:val="2AE31A25"/>
    <w:rsid w:val="2AFB53B3"/>
    <w:rsid w:val="2B152610"/>
    <w:rsid w:val="2B391645"/>
    <w:rsid w:val="2B42499D"/>
    <w:rsid w:val="2B6A055B"/>
    <w:rsid w:val="2B870602"/>
    <w:rsid w:val="2B8925CC"/>
    <w:rsid w:val="2BB722B8"/>
    <w:rsid w:val="2BD60D0D"/>
    <w:rsid w:val="2BF67536"/>
    <w:rsid w:val="2C1B6F9C"/>
    <w:rsid w:val="2C3050AD"/>
    <w:rsid w:val="2C363DD6"/>
    <w:rsid w:val="2C475FE3"/>
    <w:rsid w:val="2C4E7372"/>
    <w:rsid w:val="2C5B55EB"/>
    <w:rsid w:val="2C7D214C"/>
    <w:rsid w:val="2CA62D0A"/>
    <w:rsid w:val="2CB03B88"/>
    <w:rsid w:val="2CB31DFF"/>
    <w:rsid w:val="2CC370ED"/>
    <w:rsid w:val="2CDC0254"/>
    <w:rsid w:val="2D173BB4"/>
    <w:rsid w:val="2D233164"/>
    <w:rsid w:val="2D2F78BA"/>
    <w:rsid w:val="2D404F0C"/>
    <w:rsid w:val="2D4A096F"/>
    <w:rsid w:val="2D6746DB"/>
    <w:rsid w:val="2D6D2063"/>
    <w:rsid w:val="2D8A43D9"/>
    <w:rsid w:val="2D9139BA"/>
    <w:rsid w:val="2D957987"/>
    <w:rsid w:val="2DA2119A"/>
    <w:rsid w:val="2DB302B5"/>
    <w:rsid w:val="2DD6025F"/>
    <w:rsid w:val="2E093550"/>
    <w:rsid w:val="2E1D349F"/>
    <w:rsid w:val="2E264F04"/>
    <w:rsid w:val="2E5A0250"/>
    <w:rsid w:val="2E834FC9"/>
    <w:rsid w:val="2E9375F4"/>
    <w:rsid w:val="2EB564B0"/>
    <w:rsid w:val="2EBF00B3"/>
    <w:rsid w:val="2EC01828"/>
    <w:rsid w:val="2ECD54C5"/>
    <w:rsid w:val="2EE31FF3"/>
    <w:rsid w:val="2F2F20B0"/>
    <w:rsid w:val="2F4832EA"/>
    <w:rsid w:val="2F6D3FB3"/>
    <w:rsid w:val="2F6F7D2B"/>
    <w:rsid w:val="2F705921"/>
    <w:rsid w:val="2F737DD1"/>
    <w:rsid w:val="2F8F575F"/>
    <w:rsid w:val="2FA23C5C"/>
    <w:rsid w:val="2FBB4D1E"/>
    <w:rsid w:val="2FBF44F3"/>
    <w:rsid w:val="2FDC1846"/>
    <w:rsid w:val="2FF26266"/>
    <w:rsid w:val="2FFE23A7"/>
    <w:rsid w:val="30030473"/>
    <w:rsid w:val="301456A1"/>
    <w:rsid w:val="302A1EA4"/>
    <w:rsid w:val="30421633"/>
    <w:rsid w:val="3058256D"/>
    <w:rsid w:val="306B7AD4"/>
    <w:rsid w:val="306C6018"/>
    <w:rsid w:val="307C2430"/>
    <w:rsid w:val="3080639F"/>
    <w:rsid w:val="3091782D"/>
    <w:rsid w:val="30A6152A"/>
    <w:rsid w:val="30B00B8C"/>
    <w:rsid w:val="30C5086C"/>
    <w:rsid w:val="30E25BAB"/>
    <w:rsid w:val="30EE1123"/>
    <w:rsid w:val="3139239E"/>
    <w:rsid w:val="31457A4F"/>
    <w:rsid w:val="315E1E05"/>
    <w:rsid w:val="316A5C0F"/>
    <w:rsid w:val="3183186B"/>
    <w:rsid w:val="3196159F"/>
    <w:rsid w:val="31A230CB"/>
    <w:rsid w:val="31EB4B1A"/>
    <w:rsid w:val="31FE2EEA"/>
    <w:rsid w:val="321840E9"/>
    <w:rsid w:val="3220247C"/>
    <w:rsid w:val="32320699"/>
    <w:rsid w:val="323207E3"/>
    <w:rsid w:val="32391589"/>
    <w:rsid w:val="32903FA2"/>
    <w:rsid w:val="32A61CB5"/>
    <w:rsid w:val="32B57ECE"/>
    <w:rsid w:val="32DC1589"/>
    <w:rsid w:val="32FF7915"/>
    <w:rsid w:val="3310712F"/>
    <w:rsid w:val="3320203F"/>
    <w:rsid w:val="33274478"/>
    <w:rsid w:val="332C55E2"/>
    <w:rsid w:val="334212B2"/>
    <w:rsid w:val="334D51FA"/>
    <w:rsid w:val="3355582A"/>
    <w:rsid w:val="33664FA1"/>
    <w:rsid w:val="33727DEA"/>
    <w:rsid w:val="338C6734"/>
    <w:rsid w:val="33C10429"/>
    <w:rsid w:val="33D91C17"/>
    <w:rsid w:val="33F220E3"/>
    <w:rsid w:val="33F7209D"/>
    <w:rsid w:val="34386A4F"/>
    <w:rsid w:val="344D7F0F"/>
    <w:rsid w:val="34B048AC"/>
    <w:rsid w:val="34D47380"/>
    <w:rsid w:val="35071DBE"/>
    <w:rsid w:val="351C25FA"/>
    <w:rsid w:val="353B4DCC"/>
    <w:rsid w:val="35482D4E"/>
    <w:rsid w:val="35594427"/>
    <w:rsid w:val="357A255F"/>
    <w:rsid w:val="35880EEA"/>
    <w:rsid w:val="35A93EF4"/>
    <w:rsid w:val="35AD1620"/>
    <w:rsid w:val="35CB35EA"/>
    <w:rsid w:val="360D5FB1"/>
    <w:rsid w:val="361C1F36"/>
    <w:rsid w:val="3639699D"/>
    <w:rsid w:val="363E71B2"/>
    <w:rsid w:val="364A0050"/>
    <w:rsid w:val="365B56BB"/>
    <w:rsid w:val="3676275E"/>
    <w:rsid w:val="36771BA1"/>
    <w:rsid w:val="367F4CF7"/>
    <w:rsid w:val="36824002"/>
    <w:rsid w:val="36C43710"/>
    <w:rsid w:val="370E607B"/>
    <w:rsid w:val="37102B66"/>
    <w:rsid w:val="371F3A8E"/>
    <w:rsid w:val="372238AC"/>
    <w:rsid w:val="374A19D9"/>
    <w:rsid w:val="375D490D"/>
    <w:rsid w:val="376161AB"/>
    <w:rsid w:val="376E09B0"/>
    <w:rsid w:val="378D51F2"/>
    <w:rsid w:val="37B57794"/>
    <w:rsid w:val="37CA5DAF"/>
    <w:rsid w:val="37FB65FF"/>
    <w:rsid w:val="381947FC"/>
    <w:rsid w:val="38213B8C"/>
    <w:rsid w:val="38351008"/>
    <w:rsid w:val="384412E5"/>
    <w:rsid w:val="384F24A7"/>
    <w:rsid w:val="38545D10"/>
    <w:rsid w:val="386245B8"/>
    <w:rsid w:val="386755D4"/>
    <w:rsid w:val="386C5EE7"/>
    <w:rsid w:val="389F4A04"/>
    <w:rsid w:val="392A081F"/>
    <w:rsid w:val="39331DF1"/>
    <w:rsid w:val="39371992"/>
    <w:rsid w:val="393E6CB0"/>
    <w:rsid w:val="3942025E"/>
    <w:rsid w:val="399F120C"/>
    <w:rsid w:val="39A131D7"/>
    <w:rsid w:val="39E07108"/>
    <w:rsid w:val="39E10598"/>
    <w:rsid w:val="3A080B60"/>
    <w:rsid w:val="3A147389"/>
    <w:rsid w:val="3A267238"/>
    <w:rsid w:val="3A3E2E21"/>
    <w:rsid w:val="3A5B3385"/>
    <w:rsid w:val="3A6B5E65"/>
    <w:rsid w:val="3A712CD6"/>
    <w:rsid w:val="3A9532DF"/>
    <w:rsid w:val="3AB97259"/>
    <w:rsid w:val="3AD1062F"/>
    <w:rsid w:val="3AE30103"/>
    <w:rsid w:val="3AE535C6"/>
    <w:rsid w:val="3AFC5C76"/>
    <w:rsid w:val="3B0A4DAB"/>
    <w:rsid w:val="3B181276"/>
    <w:rsid w:val="3B1F4044"/>
    <w:rsid w:val="3B2578B4"/>
    <w:rsid w:val="3B4A33FA"/>
    <w:rsid w:val="3B880FD3"/>
    <w:rsid w:val="3B906BA2"/>
    <w:rsid w:val="3BDA477E"/>
    <w:rsid w:val="3BEA5EFE"/>
    <w:rsid w:val="3C0C75B1"/>
    <w:rsid w:val="3C1A68AD"/>
    <w:rsid w:val="3C410359"/>
    <w:rsid w:val="3C4E1173"/>
    <w:rsid w:val="3C544A0A"/>
    <w:rsid w:val="3C6754B8"/>
    <w:rsid w:val="3C677638"/>
    <w:rsid w:val="3C6F171C"/>
    <w:rsid w:val="3C972852"/>
    <w:rsid w:val="3C9B0521"/>
    <w:rsid w:val="3C9C7534"/>
    <w:rsid w:val="3CBE5E4E"/>
    <w:rsid w:val="3CC1403A"/>
    <w:rsid w:val="3CC80A7A"/>
    <w:rsid w:val="3CE21B3C"/>
    <w:rsid w:val="3CE25928"/>
    <w:rsid w:val="3CF74602"/>
    <w:rsid w:val="3D064800"/>
    <w:rsid w:val="3D172AEF"/>
    <w:rsid w:val="3D22462E"/>
    <w:rsid w:val="3D6036BC"/>
    <w:rsid w:val="3D65609E"/>
    <w:rsid w:val="3D913562"/>
    <w:rsid w:val="3D9A694F"/>
    <w:rsid w:val="3DAE5D39"/>
    <w:rsid w:val="3DD31485"/>
    <w:rsid w:val="3DF15DAF"/>
    <w:rsid w:val="3DF437CE"/>
    <w:rsid w:val="3DF61D41"/>
    <w:rsid w:val="3E203168"/>
    <w:rsid w:val="3E416D36"/>
    <w:rsid w:val="3E495293"/>
    <w:rsid w:val="3EA03A5D"/>
    <w:rsid w:val="3EBD5BD8"/>
    <w:rsid w:val="3EDF3E59"/>
    <w:rsid w:val="3F12205B"/>
    <w:rsid w:val="3F1C5CDE"/>
    <w:rsid w:val="3F43263A"/>
    <w:rsid w:val="3F5D6952"/>
    <w:rsid w:val="3F610607"/>
    <w:rsid w:val="3F9368DF"/>
    <w:rsid w:val="3FB83028"/>
    <w:rsid w:val="3FC512A1"/>
    <w:rsid w:val="40014C1A"/>
    <w:rsid w:val="4004001B"/>
    <w:rsid w:val="400B3F7C"/>
    <w:rsid w:val="401130C9"/>
    <w:rsid w:val="40366FB2"/>
    <w:rsid w:val="404D19C2"/>
    <w:rsid w:val="40966E0C"/>
    <w:rsid w:val="40B90E06"/>
    <w:rsid w:val="40BA680E"/>
    <w:rsid w:val="40D07EFD"/>
    <w:rsid w:val="40D93256"/>
    <w:rsid w:val="410127AD"/>
    <w:rsid w:val="410A0BDF"/>
    <w:rsid w:val="41585BDA"/>
    <w:rsid w:val="41B0194E"/>
    <w:rsid w:val="41DF2AEE"/>
    <w:rsid w:val="41F03837"/>
    <w:rsid w:val="41F07711"/>
    <w:rsid w:val="41F836BE"/>
    <w:rsid w:val="41FA16D6"/>
    <w:rsid w:val="42253D7C"/>
    <w:rsid w:val="422844C0"/>
    <w:rsid w:val="422E1AC1"/>
    <w:rsid w:val="42387816"/>
    <w:rsid w:val="42395B2C"/>
    <w:rsid w:val="42577741"/>
    <w:rsid w:val="42611755"/>
    <w:rsid w:val="42614EE5"/>
    <w:rsid w:val="42622FD8"/>
    <w:rsid w:val="4266795F"/>
    <w:rsid w:val="42703746"/>
    <w:rsid w:val="42A32AC4"/>
    <w:rsid w:val="42A44521"/>
    <w:rsid w:val="42AB0C22"/>
    <w:rsid w:val="42BA0E65"/>
    <w:rsid w:val="42E163F2"/>
    <w:rsid w:val="42FA6161"/>
    <w:rsid w:val="432A5FEB"/>
    <w:rsid w:val="43543068"/>
    <w:rsid w:val="43687983"/>
    <w:rsid w:val="437234EE"/>
    <w:rsid w:val="43AA2C88"/>
    <w:rsid w:val="43DC1519"/>
    <w:rsid w:val="43E73EDC"/>
    <w:rsid w:val="43E91F39"/>
    <w:rsid w:val="4400619E"/>
    <w:rsid w:val="440356BD"/>
    <w:rsid w:val="44264E8C"/>
    <w:rsid w:val="442F5439"/>
    <w:rsid w:val="4440539A"/>
    <w:rsid w:val="445D419E"/>
    <w:rsid w:val="44CD4E80"/>
    <w:rsid w:val="44D2767A"/>
    <w:rsid w:val="44FF7003"/>
    <w:rsid w:val="453579DA"/>
    <w:rsid w:val="453C6194"/>
    <w:rsid w:val="45464129"/>
    <w:rsid w:val="45645168"/>
    <w:rsid w:val="457E617A"/>
    <w:rsid w:val="45833790"/>
    <w:rsid w:val="45A81295"/>
    <w:rsid w:val="45A97D40"/>
    <w:rsid w:val="45B8631A"/>
    <w:rsid w:val="45F159A3"/>
    <w:rsid w:val="45F90162"/>
    <w:rsid w:val="46044B84"/>
    <w:rsid w:val="460D5916"/>
    <w:rsid w:val="4628284A"/>
    <w:rsid w:val="4664677E"/>
    <w:rsid w:val="466B6737"/>
    <w:rsid w:val="46837726"/>
    <w:rsid w:val="468448D8"/>
    <w:rsid w:val="468D70CB"/>
    <w:rsid w:val="4698331F"/>
    <w:rsid w:val="46A165C4"/>
    <w:rsid w:val="46AA7BDD"/>
    <w:rsid w:val="4706325F"/>
    <w:rsid w:val="470B6145"/>
    <w:rsid w:val="470C3A3A"/>
    <w:rsid w:val="47162AE2"/>
    <w:rsid w:val="473E3178"/>
    <w:rsid w:val="47655843"/>
    <w:rsid w:val="476D46F8"/>
    <w:rsid w:val="47962833"/>
    <w:rsid w:val="47A81BD4"/>
    <w:rsid w:val="47E72080"/>
    <w:rsid w:val="47EC7D13"/>
    <w:rsid w:val="4805375F"/>
    <w:rsid w:val="480607A8"/>
    <w:rsid w:val="48AD51DE"/>
    <w:rsid w:val="48BC7958"/>
    <w:rsid w:val="48C25682"/>
    <w:rsid w:val="48E44E8E"/>
    <w:rsid w:val="48EF1463"/>
    <w:rsid w:val="48FC21D7"/>
    <w:rsid w:val="492601CA"/>
    <w:rsid w:val="49307E48"/>
    <w:rsid w:val="4941408E"/>
    <w:rsid w:val="495F681E"/>
    <w:rsid w:val="49D942C7"/>
    <w:rsid w:val="49DD2F88"/>
    <w:rsid w:val="49E02FB2"/>
    <w:rsid w:val="49E113CD"/>
    <w:rsid w:val="49F92273"/>
    <w:rsid w:val="4A2A4B22"/>
    <w:rsid w:val="4A3E237C"/>
    <w:rsid w:val="4A4D25BF"/>
    <w:rsid w:val="4A547DF1"/>
    <w:rsid w:val="4A631680"/>
    <w:rsid w:val="4A640EF6"/>
    <w:rsid w:val="4A6C0C96"/>
    <w:rsid w:val="4A7D6761"/>
    <w:rsid w:val="4A865963"/>
    <w:rsid w:val="4A8E3303"/>
    <w:rsid w:val="4A9220C8"/>
    <w:rsid w:val="4AAD7F96"/>
    <w:rsid w:val="4ABD5821"/>
    <w:rsid w:val="4AD37825"/>
    <w:rsid w:val="4AD93E52"/>
    <w:rsid w:val="4AE253FD"/>
    <w:rsid w:val="4AE82E7C"/>
    <w:rsid w:val="4B0C0A1E"/>
    <w:rsid w:val="4B1A06F3"/>
    <w:rsid w:val="4B5E1CBD"/>
    <w:rsid w:val="4B9F1E6D"/>
    <w:rsid w:val="4BCB40E3"/>
    <w:rsid w:val="4BE33AA1"/>
    <w:rsid w:val="4BE83DFC"/>
    <w:rsid w:val="4C1A368B"/>
    <w:rsid w:val="4C242A08"/>
    <w:rsid w:val="4C4A6CD7"/>
    <w:rsid w:val="4C79769B"/>
    <w:rsid w:val="4C7A3A1E"/>
    <w:rsid w:val="4C8A7AFA"/>
    <w:rsid w:val="4CA3296A"/>
    <w:rsid w:val="4CA50490"/>
    <w:rsid w:val="4CC147B9"/>
    <w:rsid w:val="4CD34FFD"/>
    <w:rsid w:val="4CED7717"/>
    <w:rsid w:val="4D1675E0"/>
    <w:rsid w:val="4D5025EF"/>
    <w:rsid w:val="4D57646E"/>
    <w:rsid w:val="4D59273A"/>
    <w:rsid w:val="4E0A2018"/>
    <w:rsid w:val="4E0D09E3"/>
    <w:rsid w:val="4E1C6E78"/>
    <w:rsid w:val="4E3C3076"/>
    <w:rsid w:val="4E4011FA"/>
    <w:rsid w:val="4E4A3333"/>
    <w:rsid w:val="4E4B79C1"/>
    <w:rsid w:val="4E4E19C6"/>
    <w:rsid w:val="4E5225D2"/>
    <w:rsid w:val="4E6509DC"/>
    <w:rsid w:val="4E6E11AE"/>
    <w:rsid w:val="4E742810"/>
    <w:rsid w:val="4E7520E4"/>
    <w:rsid w:val="4E830CA5"/>
    <w:rsid w:val="4ECC61A8"/>
    <w:rsid w:val="4ED54C66"/>
    <w:rsid w:val="4F1B2C8C"/>
    <w:rsid w:val="4F2C4E99"/>
    <w:rsid w:val="4F642884"/>
    <w:rsid w:val="4F7A3E56"/>
    <w:rsid w:val="4F7E438F"/>
    <w:rsid w:val="4FB355BA"/>
    <w:rsid w:val="4FC926E8"/>
    <w:rsid w:val="4FCF5E5E"/>
    <w:rsid w:val="4FE12B5B"/>
    <w:rsid w:val="4FF66CA6"/>
    <w:rsid w:val="50096F88"/>
    <w:rsid w:val="502358D4"/>
    <w:rsid w:val="50566671"/>
    <w:rsid w:val="506C3D0E"/>
    <w:rsid w:val="50A373DC"/>
    <w:rsid w:val="50AB0CD9"/>
    <w:rsid w:val="50B43398"/>
    <w:rsid w:val="50B458E1"/>
    <w:rsid w:val="50E9657C"/>
    <w:rsid w:val="50ED2826"/>
    <w:rsid w:val="50F4463C"/>
    <w:rsid w:val="51081B1D"/>
    <w:rsid w:val="513163F4"/>
    <w:rsid w:val="514450FE"/>
    <w:rsid w:val="515F5BA9"/>
    <w:rsid w:val="5172503A"/>
    <w:rsid w:val="518B61DE"/>
    <w:rsid w:val="51AE428B"/>
    <w:rsid w:val="51C86E9E"/>
    <w:rsid w:val="52066DA7"/>
    <w:rsid w:val="523E6E33"/>
    <w:rsid w:val="524F7F0E"/>
    <w:rsid w:val="52601B49"/>
    <w:rsid w:val="52770B21"/>
    <w:rsid w:val="52C11D12"/>
    <w:rsid w:val="52C81658"/>
    <w:rsid w:val="52DE64AA"/>
    <w:rsid w:val="52F2446A"/>
    <w:rsid w:val="53364538"/>
    <w:rsid w:val="533D19AF"/>
    <w:rsid w:val="53464C22"/>
    <w:rsid w:val="53715570"/>
    <w:rsid w:val="537231BE"/>
    <w:rsid w:val="53C22E43"/>
    <w:rsid w:val="53DD0E57"/>
    <w:rsid w:val="53E63623"/>
    <w:rsid w:val="53ED0658"/>
    <w:rsid w:val="544F3B03"/>
    <w:rsid w:val="545804DE"/>
    <w:rsid w:val="545D6F6D"/>
    <w:rsid w:val="54762ACB"/>
    <w:rsid w:val="54843081"/>
    <w:rsid w:val="54A0312F"/>
    <w:rsid w:val="54E07C45"/>
    <w:rsid w:val="54EE2F1E"/>
    <w:rsid w:val="54FE1085"/>
    <w:rsid w:val="55200FFC"/>
    <w:rsid w:val="55436C2B"/>
    <w:rsid w:val="556C5FEF"/>
    <w:rsid w:val="5573542B"/>
    <w:rsid w:val="55786211"/>
    <w:rsid w:val="55807CEC"/>
    <w:rsid w:val="55A35A03"/>
    <w:rsid w:val="55AE6607"/>
    <w:rsid w:val="55EB4645"/>
    <w:rsid w:val="55ED1B31"/>
    <w:rsid w:val="55F74CB5"/>
    <w:rsid w:val="5625507B"/>
    <w:rsid w:val="56332FB1"/>
    <w:rsid w:val="567F7FA4"/>
    <w:rsid w:val="56A620AF"/>
    <w:rsid w:val="56B50F12"/>
    <w:rsid w:val="56D5269B"/>
    <w:rsid w:val="56DA342C"/>
    <w:rsid w:val="57233025"/>
    <w:rsid w:val="576C0528"/>
    <w:rsid w:val="57756725"/>
    <w:rsid w:val="57E207EA"/>
    <w:rsid w:val="57EF62EE"/>
    <w:rsid w:val="583B4B26"/>
    <w:rsid w:val="58434729"/>
    <w:rsid w:val="58577DBC"/>
    <w:rsid w:val="585A2A77"/>
    <w:rsid w:val="58694A68"/>
    <w:rsid w:val="58752998"/>
    <w:rsid w:val="588A371E"/>
    <w:rsid w:val="58931AE5"/>
    <w:rsid w:val="58D2085F"/>
    <w:rsid w:val="58E6255C"/>
    <w:rsid w:val="592A069B"/>
    <w:rsid w:val="594C4628"/>
    <w:rsid w:val="59657925"/>
    <w:rsid w:val="596B3479"/>
    <w:rsid w:val="597B746C"/>
    <w:rsid w:val="599664DA"/>
    <w:rsid w:val="59AE047C"/>
    <w:rsid w:val="59D423B5"/>
    <w:rsid w:val="59E75CE1"/>
    <w:rsid w:val="59ED429B"/>
    <w:rsid w:val="5A031FBA"/>
    <w:rsid w:val="5A246980"/>
    <w:rsid w:val="5A341668"/>
    <w:rsid w:val="5A3B5DD0"/>
    <w:rsid w:val="5A3C190B"/>
    <w:rsid w:val="5A494B51"/>
    <w:rsid w:val="5A7364EA"/>
    <w:rsid w:val="5A784954"/>
    <w:rsid w:val="5A8042EB"/>
    <w:rsid w:val="5A84202D"/>
    <w:rsid w:val="5A902780"/>
    <w:rsid w:val="5AB3021C"/>
    <w:rsid w:val="5AC643FD"/>
    <w:rsid w:val="5ACC28C2"/>
    <w:rsid w:val="5ACF7B6D"/>
    <w:rsid w:val="5AD76C4A"/>
    <w:rsid w:val="5AED7BD2"/>
    <w:rsid w:val="5AF65594"/>
    <w:rsid w:val="5B4F7164"/>
    <w:rsid w:val="5B500161"/>
    <w:rsid w:val="5B5F0490"/>
    <w:rsid w:val="5B874E3C"/>
    <w:rsid w:val="5BC65806"/>
    <w:rsid w:val="5BDF0A14"/>
    <w:rsid w:val="5C095330"/>
    <w:rsid w:val="5C1318BA"/>
    <w:rsid w:val="5C471564"/>
    <w:rsid w:val="5C473312"/>
    <w:rsid w:val="5C514D27"/>
    <w:rsid w:val="5C8A5E37"/>
    <w:rsid w:val="5CA16EC6"/>
    <w:rsid w:val="5CA85348"/>
    <w:rsid w:val="5CA96EF0"/>
    <w:rsid w:val="5CAE3391"/>
    <w:rsid w:val="5CC53F10"/>
    <w:rsid w:val="5CE176B4"/>
    <w:rsid w:val="5CE73533"/>
    <w:rsid w:val="5D094A6B"/>
    <w:rsid w:val="5D2154E6"/>
    <w:rsid w:val="5D5977A1"/>
    <w:rsid w:val="5D75670B"/>
    <w:rsid w:val="5DB91FED"/>
    <w:rsid w:val="5DBC3340"/>
    <w:rsid w:val="5DCA3F6F"/>
    <w:rsid w:val="5DED1C97"/>
    <w:rsid w:val="5E5B77E5"/>
    <w:rsid w:val="5E5E738A"/>
    <w:rsid w:val="5E6141E5"/>
    <w:rsid w:val="5EDB5F93"/>
    <w:rsid w:val="5EDB72B0"/>
    <w:rsid w:val="5EE238F0"/>
    <w:rsid w:val="5EFD23AE"/>
    <w:rsid w:val="5F286AEB"/>
    <w:rsid w:val="5F2C3E46"/>
    <w:rsid w:val="5F6366B5"/>
    <w:rsid w:val="5F9745B0"/>
    <w:rsid w:val="5F9969C4"/>
    <w:rsid w:val="5FAD16DE"/>
    <w:rsid w:val="600F2399"/>
    <w:rsid w:val="602A2C4B"/>
    <w:rsid w:val="603A2293"/>
    <w:rsid w:val="60567B80"/>
    <w:rsid w:val="6058200B"/>
    <w:rsid w:val="605E0C2A"/>
    <w:rsid w:val="60806DF2"/>
    <w:rsid w:val="60A416D3"/>
    <w:rsid w:val="60B85C08"/>
    <w:rsid w:val="60BA67A8"/>
    <w:rsid w:val="60D268BD"/>
    <w:rsid w:val="60E25592"/>
    <w:rsid w:val="60EE6452"/>
    <w:rsid w:val="61104A4E"/>
    <w:rsid w:val="61492E4D"/>
    <w:rsid w:val="61605860"/>
    <w:rsid w:val="617C580C"/>
    <w:rsid w:val="61B54AFD"/>
    <w:rsid w:val="61DE35C3"/>
    <w:rsid w:val="61E80393"/>
    <w:rsid w:val="61FC694D"/>
    <w:rsid w:val="62062F4F"/>
    <w:rsid w:val="623550E7"/>
    <w:rsid w:val="6243457B"/>
    <w:rsid w:val="624F1172"/>
    <w:rsid w:val="62540537"/>
    <w:rsid w:val="62581748"/>
    <w:rsid w:val="626C35F6"/>
    <w:rsid w:val="627806C9"/>
    <w:rsid w:val="627E3F0B"/>
    <w:rsid w:val="629913A6"/>
    <w:rsid w:val="62AB7A34"/>
    <w:rsid w:val="62AC3ECF"/>
    <w:rsid w:val="62B310F2"/>
    <w:rsid w:val="62BF00A6"/>
    <w:rsid w:val="62CE0314"/>
    <w:rsid w:val="62D022B3"/>
    <w:rsid w:val="62D76052"/>
    <w:rsid w:val="62D96C8E"/>
    <w:rsid w:val="6311467A"/>
    <w:rsid w:val="632A1297"/>
    <w:rsid w:val="632C3261"/>
    <w:rsid w:val="63400ABB"/>
    <w:rsid w:val="63676048"/>
    <w:rsid w:val="63841E55"/>
    <w:rsid w:val="63A510EA"/>
    <w:rsid w:val="63A921DA"/>
    <w:rsid w:val="63B00522"/>
    <w:rsid w:val="63D23E09"/>
    <w:rsid w:val="63D47B81"/>
    <w:rsid w:val="63E43B3C"/>
    <w:rsid w:val="640A35A3"/>
    <w:rsid w:val="643061D8"/>
    <w:rsid w:val="6445282D"/>
    <w:rsid w:val="646475B1"/>
    <w:rsid w:val="6468651B"/>
    <w:rsid w:val="646A5DEF"/>
    <w:rsid w:val="64947640"/>
    <w:rsid w:val="64A04C33"/>
    <w:rsid w:val="64A70DF2"/>
    <w:rsid w:val="64C550B6"/>
    <w:rsid w:val="64DA4FF3"/>
    <w:rsid w:val="64E1339F"/>
    <w:rsid w:val="65155EBB"/>
    <w:rsid w:val="653825C4"/>
    <w:rsid w:val="65394435"/>
    <w:rsid w:val="656B62C3"/>
    <w:rsid w:val="65810068"/>
    <w:rsid w:val="65815AE7"/>
    <w:rsid w:val="65AC679B"/>
    <w:rsid w:val="65CC749D"/>
    <w:rsid w:val="65DF0A5F"/>
    <w:rsid w:val="65F07C88"/>
    <w:rsid w:val="66192141"/>
    <w:rsid w:val="661F70AE"/>
    <w:rsid w:val="6626440F"/>
    <w:rsid w:val="66287D10"/>
    <w:rsid w:val="662A52E5"/>
    <w:rsid w:val="662B56B4"/>
    <w:rsid w:val="66326DE1"/>
    <w:rsid w:val="66430FEE"/>
    <w:rsid w:val="66492935"/>
    <w:rsid w:val="665705F5"/>
    <w:rsid w:val="665F5EB5"/>
    <w:rsid w:val="66756B2A"/>
    <w:rsid w:val="668F1452"/>
    <w:rsid w:val="669453A6"/>
    <w:rsid w:val="66AD051A"/>
    <w:rsid w:val="66C739CD"/>
    <w:rsid w:val="66DC4F8F"/>
    <w:rsid w:val="6740552D"/>
    <w:rsid w:val="677376B1"/>
    <w:rsid w:val="67972ADA"/>
    <w:rsid w:val="67BD6B7E"/>
    <w:rsid w:val="67C42D4B"/>
    <w:rsid w:val="67E53843"/>
    <w:rsid w:val="67EC1211"/>
    <w:rsid w:val="6812637F"/>
    <w:rsid w:val="683A26FC"/>
    <w:rsid w:val="68594AF9"/>
    <w:rsid w:val="686D15FC"/>
    <w:rsid w:val="687158D5"/>
    <w:rsid w:val="68724E26"/>
    <w:rsid w:val="689478DF"/>
    <w:rsid w:val="68BE090B"/>
    <w:rsid w:val="68BF2482"/>
    <w:rsid w:val="68D66B68"/>
    <w:rsid w:val="69124CA8"/>
    <w:rsid w:val="691502BF"/>
    <w:rsid w:val="691B47B7"/>
    <w:rsid w:val="696A6892"/>
    <w:rsid w:val="69A41DA4"/>
    <w:rsid w:val="6A457569"/>
    <w:rsid w:val="6A626289"/>
    <w:rsid w:val="6A686C67"/>
    <w:rsid w:val="6A8F31AB"/>
    <w:rsid w:val="6A9E733C"/>
    <w:rsid w:val="6AB705CA"/>
    <w:rsid w:val="6AD30F68"/>
    <w:rsid w:val="6AEB2D12"/>
    <w:rsid w:val="6B170F37"/>
    <w:rsid w:val="6B296AAC"/>
    <w:rsid w:val="6B512465"/>
    <w:rsid w:val="6B902CAD"/>
    <w:rsid w:val="6B9A16B0"/>
    <w:rsid w:val="6B9C1554"/>
    <w:rsid w:val="6BBC5049"/>
    <w:rsid w:val="6BCF6E4A"/>
    <w:rsid w:val="6BED1923"/>
    <w:rsid w:val="6BEF1545"/>
    <w:rsid w:val="6C156F89"/>
    <w:rsid w:val="6C181BE1"/>
    <w:rsid w:val="6C1B0A01"/>
    <w:rsid w:val="6C227185"/>
    <w:rsid w:val="6C292A34"/>
    <w:rsid w:val="6C4258A4"/>
    <w:rsid w:val="6C6525FA"/>
    <w:rsid w:val="6C6A6E5D"/>
    <w:rsid w:val="6C712525"/>
    <w:rsid w:val="6C7178B9"/>
    <w:rsid w:val="6CA438B9"/>
    <w:rsid w:val="6CF44DF0"/>
    <w:rsid w:val="6D1963C7"/>
    <w:rsid w:val="6D486AFE"/>
    <w:rsid w:val="6D6261FE"/>
    <w:rsid w:val="6D94212F"/>
    <w:rsid w:val="6DD9677A"/>
    <w:rsid w:val="6DF54F2F"/>
    <w:rsid w:val="6E004EE9"/>
    <w:rsid w:val="6E071C62"/>
    <w:rsid w:val="6E1831C5"/>
    <w:rsid w:val="6E28531F"/>
    <w:rsid w:val="6E331948"/>
    <w:rsid w:val="6E7C509D"/>
    <w:rsid w:val="6EAD3A07"/>
    <w:rsid w:val="6EB72579"/>
    <w:rsid w:val="6EF72976"/>
    <w:rsid w:val="6F0E7CBF"/>
    <w:rsid w:val="6F622B33"/>
    <w:rsid w:val="6FB25734"/>
    <w:rsid w:val="6FDE231C"/>
    <w:rsid w:val="703947D7"/>
    <w:rsid w:val="7040659E"/>
    <w:rsid w:val="7048016E"/>
    <w:rsid w:val="70A61395"/>
    <w:rsid w:val="70F83021"/>
    <w:rsid w:val="70FA499F"/>
    <w:rsid w:val="70FC4273"/>
    <w:rsid w:val="71066EA0"/>
    <w:rsid w:val="711F60F2"/>
    <w:rsid w:val="7121050F"/>
    <w:rsid w:val="714D1ADD"/>
    <w:rsid w:val="71503FD3"/>
    <w:rsid w:val="715B52A9"/>
    <w:rsid w:val="715F37AA"/>
    <w:rsid w:val="716445FB"/>
    <w:rsid w:val="716E08C5"/>
    <w:rsid w:val="71991B8A"/>
    <w:rsid w:val="71A50310"/>
    <w:rsid w:val="71B81EBC"/>
    <w:rsid w:val="71F633B8"/>
    <w:rsid w:val="71FC42B9"/>
    <w:rsid w:val="71FF3A88"/>
    <w:rsid w:val="720F142F"/>
    <w:rsid w:val="722F68CA"/>
    <w:rsid w:val="72326057"/>
    <w:rsid w:val="725A3CCB"/>
    <w:rsid w:val="727C2D5A"/>
    <w:rsid w:val="72907369"/>
    <w:rsid w:val="72A62206"/>
    <w:rsid w:val="72B77970"/>
    <w:rsid w:val="72BB5DBA"/>
    <w:rsid w:val="72D54D7C"/>
    <w:rsid w:val="72D609D7"/>
    <w:rsid w:val="731B2184"/>
    <w:rsid w:val="735465E8"/>
    <w:rsid w:val="73560620"/>
    <w:rsid w:val="73577749"/>
    <w:rsid w:val="73700F48"/>
    <w:rsid w:val="73931034"/>
    <w:rsid w:val="73F43927"/>
    <w:rsid w:val="73F47FAE"/>
    <w:rsid w:val="741A1BF1"/>
    <w:rsid w:val="74212243"/>
    <w:rsid w:val="74213B7A"/>
    <w:rsid w:val="744A79EB"/>
    <w:rsid w:val="74512B28"/>
    <w:rsid w:val="74531EB6"/>
    <w:rsid w:val="747D7A3C"/>
    <w:rsid w:val="748B2B17"/>
    <w:rsid w:val="749D5D6D"/>
    <w:rsid w:val="74D0167A"/>
    <w:rsid w:val="74E97204"/>
    <w:rsid w:val="74EB12C4"/>
    <w:rsid w:val="74EF53D3"/>
    <w:rsid w:val="750124CB"/>
    <w:rsid w:val="75015D30"/>
    <w:rsid w:val="75311340"/>
    <w:rsid w:val="75524DAA"/>
    <w:rsid w:val="756F65F9"/>
    <w:rsid w:val="75952EE8"/>
    <w:rsid w:val="760C03A0"/>
    <w:rsid w:val="761107C1"/>
    <w:rsid w:val="761756AB"/>
    <w:rsid w:val="763149BF"/>
    <w:rsid w:val="76500BBD"/>
    <w:rsid w:val="766308F1"/>
    <w:rsid w:val="76796366"/>
    <w:rsid w:val="76B240A6"/>
    <w:rsid w:val="76BA1D3C"/>
    <w:rsid w:val="76BB24DB"/>
    <w:rsid w:val="76ED07DD"/>
    <w:rsid w:val="77010C60"/>
    <w:rsid w:val="770F10C1"/>
    <w:rsid w:val="771340C5"/>
    <w:rsid w:val="771A18F7"/>
    <w:rsid w:val="77324E93"/>
    <w:rsid w:val="774E3661"/>
    <w:rsid w:val="77741199"/>
    <w:rsid w:val="77C80D66"/>
    <w:rsid w:val="77E00A18"/>
    <w:rsid w:val="77E43CB3"/>
    <w:rsid w:val="78014865"/>
    <w:rsid w:val="78282B63"/>
    <w:rsid w:val="784A7477"/>
    <w:rsid w:val="78643617"/>
    <w:rsid w:val="7899684C"/>
    <w:rsid w:val="78A0670C"/>
    <w:rsid w:val="78AE246B"/>
    <w:rsid w:val="78BE527D"/>
    <w:rsid w:val="78E0447A"/>
    <w:rsid w:val="790D6CAB"/>
    <w:rsid w:val="79690914"/>
    <w:rsid w:val="796A1CE0"/>
    <w:rsid w:val="796E2F68"/>
    <w:rsid w:val="79797FFE"/>
    <w:rsid w:val="797B41A3"/>
    <w:rsid w:val="79924D04"/>
    <w:rsid w:val="79B3393D"/>
    <w:rsid w:val="79B42F8A"/>
    <w:rsid w:val="79CD61AE"/>
    <w:rsid w:val="79F72C28"/>
    <w:rsid w:val="7A0450D2"/>
    <w:rsid w:val="7A0E5017"/>
    <w:rsid w:val="7A23771D"/>
    <w:rsid w:val="7A29339B"/>
    <w:rsid w:val="7A2F79A0"/>
    <w:rsid w:val="7A371DB4"/>
    <w:rsid w:val="7A3E3B4E"/>
    <w:rsid w:val="7A3E58FC"/>
    <w:rsid w:val="7A416D33"/>
    <w:rsid w:val="7A5076C4"/>
    <w:rsid w:val="7A7C6425"/>
    <w:rsid w:val="7A9B17E8"/>
    <w:rsid w:val="7AB246A1"/>
    <w:rsid w:val="7AC715A0"/>
    <w:rsid w:val="7AD86450"/>
    <w:rsid w:val="7B191EC6"/>
    <w:rsid w:val="7B4909FD"/>
    <w:rsid w:val="7B62561B"/>
    <w:rsid w:val="7B6B557B"/>
    <w:rsid w:val="7B9A20AE"/>
    <w:rsid w:val="7BC142DA"/>
    <w:rsid w:val="7BCF5603"/>
    <w:rsid w:val="7BD52290"/>
    <w:rsid w:val="7BDC39C1"/>
    <w:rsid w:val="7BF070CA"/>
    <w:rsid w:val="7C2F05DA"/>
    <w:rsid w:val="7C484810"/>
    <w:rsid w:val="7C506205"/>
    <w:rsid w:val="7C681333"/>
    <w:rsid w:val="7C6921AC"/>
    <w:rsid w:val="7C6B49A3"/>
    <w:rsid w:val="7C6C58C7"/>
    <w:rsid w:val="7C7C0C15"/>
    <w:rsid w:val="7C80267F"/>
    <w:rsid w:val="7C805633"/>
    <w:rsid w:val="7CA51C63"/>
    <w:rsid w:val="7CAA54CB"/>
    <w:rsid w:val="7CAB6AB8"/>
    <w:rsid w:val="7CAF1D53"/>
    <w:rsid w:val="7CBF5ED9"/>
    <w:rsid w:val="7CED360A"/>
    <w:rsid w:val="7CF71225"/>
    <w:rsid w:val="7D050953"/>
    <w:rsid w:val="7D0A41BC"/>
    <w:rsid w:val="7D286459"/>
    <w:rsid w:val="7D3C35EE"/>
    <w:rsid w:val="7D567401"/>
    <w:rsid w:val="7D657D24"/>
    <w:rsid w:val="7D7E69B3"/>
    <w:rsid w:val="7D967DA2"/>
    <w:rsid w:val="7DAB14FB"/>
    <w:rsid w:val="7DB857AB"/>
    <w:rsid w:val="7DBC4076"/>
    <w:rsid w:val="7DDD367E"/>
    <w:rsid w:val="7E292420"/>
    <w:rsid w:val="7E5D3A16"/>
    <w:rsid w:val="7E972673"/>
    <w:rsid w:val="7EC6323A"/>
    <w:rsid w:val="7EE44A97"/>
    <w:rsid w:val="7EE93269"/>
    <w:rsid w:val="7F370B6C"/>
    <w:rsid w:val="7F3C6183"/>
    <w:rsid w:val="7F6A6BC5"/>
    <w:rsid w:val="7F8B57C4"/>
    <w:rsid w:val="7F933B16"/>
    <w:rsid w:val="7FB272F0"/>
    <w:rsid w:val="7FB328E9"/>
    <w:rsid w:val="E8777E7D"/>
    <w:rsid w:val="FEBB0F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qFormat/>
    <w:uiPriority w:val="1"/>
    <w:pPr>
      <w:ind w:left="322"/>
      <w:outlineLvl w:val="1"/>
    </w:pPr>
    <w:rPr>
      <w:rFonts w:ascii="宋体" w:hAnsi="宋体" w:cs="宋体"/>
      <w:sz w:val="30"/>
      <w:szCs w:val="30"/>
    </w:rPr>
  </w:style>
  <w:style w:type="paragraph" w:styleId="4">
    <w:name w:val="heading 3"/>
    <w:basedOn w:val="1"/>
    <w:next w:val="1"/>
    <w:semiHidden/>
    <w:unhideWhenUsed/>
    <w:qFormat/>
    <w:uiPriority w:val="9"/>
    <w:pPr>
      <w:spacing w:beforeAutospacing="1" w:afterAutospacing="1"/>
      <w:jc w:val="left"/>
      <w:outlineLvl w:val="2"/>
    </w:pPr>
    <w:rPr>
      <w:rFonts w:hint="eastAsia" w:ascii="宋体" w:hAnsi="宋体"/>
      <w:b/>
      <w:bCs/>
      <w:kern w:val="0"/>
      <w:sz w:val="27"/>
      <w:szCs w:val="27"/>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Date"/>
    <w:basedOn w:val="1"/>
    <w:next w:val="1"/>
    <w:link w:val="24"/>
    <w:qFormat/>
    <w:uiPriority w:val="0"/>
    <w:pPr>
      <w:ind w:left="100" w:leftChars="2500"/>
    </w:pPr>
    <w:rPr>
      <w:rFonts w:asciiTheme="minorHAnsi" w:hAnsiTheme="minorHAnsi" w:eastAsiaTheme="minorEastAsia" w:cstheme="minorBidi"/>
    </w:rPr>
  </w:style>
  <w:style w:type="paragraph" w:styleId="7">
    <w:name w:val="Balloon Text"/>
    <w:basedOn w:val="1"/>
    <w:link w:val="22"/>
    <w:semiHidden/>
    <w:unhideWhenUsed/>
    <w:qFormat/>
    <w:uiPriority w:val="99"/>
    <w:rPr>
      <w:sz w:val="18"/>
      <w:szCs w:val="18"/>
    </w:rPr>
  </w:style>
  <w:style w:type="paragraph" w:styleId="8">
    <w:name w:val="footer"/>
    <w:basedOn w:val="1"/>
    <w:link w:val="21"/>
    <w:unhideWhenUsed/>
    <w:qFormat/>
    <w:uiPriority w:val="99"/>
    <w:pPr>
      <w:tabs>
        <w:tab w:val="center" w:pos="4153"/>
        <w:tab w:val="right" w:pos="8306"/>
      </w:tabs>
      <w:snapToGrid w:val="0"/>
      <w:jc w:val="left"/>
    </w:pPr>
    <w:rPr>
      <w:sz w:val="18"/>
      <w:szCs w:val="18"/>
    </w:rPr>
  </w:style>
  <w:style w:type="paragraph" w:styleId="9">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semiHidden/>
    <w:unhideWhenUsed/>
    <w:qFormat/>
    <w:uiPriority w:val="39"/>
  </w:style>
  <w:style w:type="paragraph" w:styleId="11">
    <w:name w:val="toc 2"/>
    <w:basedOn w:val="1"/>
    <w:next w:val="1"/>
    <w:semiHidden/>
    <w:unhideWhenUsed/>
    <w:qFormat/>
    <w:uiPriority w:val="39"/>
    <w:pPr>
      <w:ind w:left="420" w:leftChars="200"/>
    </w:pPr>
  </w:style>
  <w:style w:type="paragraph" w:styleId="1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3">
    <w:name w:val="Normal (Web)"/>
    <w:basedOn w:val="1"/>
    <w:semiHidden/>
    <w:unhideWhenUsed/>
    <w:qFormat/>
    <w:uiPriority w:val="99"/>
    <w:pPr>
      <w:spacing w:beforeAutospacing="1" w:afterAutospacing="1"/>
      <w:jc w:val="left"/>
    </w:pPr>
    <w:rPr>
      <w:kern w:val="0"/>
      <w:sz w:val="24"/>
    </w:rPr>
  </w:style>
  <w:style w:type="table" w:styleId="15">
    <w:name w:val="Table Grid"/>
    <w:basedOn w:val="1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rPr>
  </w:style>
  <w:style w:type="character" w:styleId="18">
    <w:name w:val="Emphasis"/>
    <w:basedOn w:val="16"/>
    <w:qFormat/>
    <w:uiPriority w:val="20"/>
    <w:rPr>
      <w:i/>
    </w:rPr>
  </w:style>
  <w:style w:type="character" w:styleId="19">
    <w:name w:val="Hyperlink"/>
    <w:basedOn w:val="16"/>
    <w:semiHidden/>
    <w:unhideWhenUsed/>
    <w:qFormat/>
    <w:uiPriority w:val="99"/>
    <w:rPr>
      <w:color w:val="0000FF"/>
      <w:u w:val="single"/>
    </w:rPr>
  </w:style>
  <w:style w:type="character" w:customStyle="1" w:styleId="20">
    <w:name w:val="页眉 字符"/>
    <w:basedOn w:val="16"/>
    <w:link w:val="9"/>
    <w:qFormat/>
    <w:uiPriority w:val="99"/>
    <w:rPr>
      <w:sz w:val="18"/>
      <w:szCs w:val="18"/>
    </w:rPr>
  </w:style>
  <w:style w:type="character" w:customStyle="1" w:styleId="21">
    <w:name w:val="页脚 字符"/>
    <w:basedOn w:val="16"/>
    <w:link w:val="8"/>
    <w:qFormat/>
    <w:uiPriority w:val="99"/>
    <w:rPr>
      <w:sz w:val="18"/>
      <w:szCs w:val="18"/>
    </w:rPr>
  </w:style>
  <w:style w:type="character" w:customStyle="1" w:styleId="22">
    <w:name w:val="批注框文本 字符"/>
    <w:basedOn w:val="16"/>
    <w:link w:val="7"/>
    <w:semiHidden/>
    <w:qFormat/>
    <w:uiPriority w:val="99"/>
    <w:rPr>
      <w:rFonts w:ascii="Times New Roman" w:hAnsi="Times New Roman" w:eastAsia="宋体" w:cs="Times New Roman"/>
      <w:sz w:val="18"/>
      <w:szCs w:val="18"/>
    </w:rPr>
  </w:style>
  <w:style w:type="paragraph" w:styleId="23">
    <w:name w:val="List Paragraph"/>
    <w:basedOn w:val="1"/>
    <w:qFormat/>
    <w:uiPriority w:val="34"/>
    <w:pPr>
      <w:ind w:firstLine="420" w:firstLineChars="200"/>
    </w:pPr>
    <w:rPr>
      <w:rFonts w:asciiTheme="minorHAnsi" w:hAnsiTheme="minorHAnsi" w:eastAsiaTheme="minorEastAsia" w:cstheme="minorBidi"/>
      <w:sz w:val="24"/>
    </w:rPr>
  </w:style>
  <w:style w:type="character" w:customStyle="1" w:styleId="24">
    <w:name w:val="日期 字符"/>
    <w:link w:val="6"/>
    <w:qFormat/>
    <w:uiPriority w:val="0"/>
    <w:rPr>
      <w:szCs w:val="24"/>
    </w:rPr>
  </w:style>
  <w:style w:type="character" w:customStyle="1" w:styleId="25">
    <w:name w:val="日期 Char1"/>
    <w:basedOn w:val="16"/>
    <w:semiHidden/>
    <w:qFormat/>
    <w:uiPriority w:val="99"/>
    <w:rPr>
      <w:rFonts w:ascii="Times New Roman" w:hAnsi="Times New Roman" w:eastAsia="宋体" w:cs="Times New Roman"/>
      <w:szCs w:val="24"/>
    </w:rPr>
  </w:style>
  <w:style w:type="paragraph" w:customStyle="1" w:styleId="26">
    <w:name w:val="WPSOffice手动目录 1"/>
    <w:qFormat/>
    <w:uiPriority w:val="0"/>
    <w:rPr>
      <w:rFonts w:asciiTheme="minorHAnsi" w:hAnsiTheme="minorHAnsi" w:eastAsiaTheme="minorEastAsia" w:cstheme="minorBidi"/>
      <w:lang w:val="en-US" w:eastAsia="zh-CN" w:bidi="ar-SA"/>
    </w:rPr>
  </w:style>
  <w:style w:type="paragraph" w:customStyle="1" w:styleId="27">
    <w:name w:val="WPSOffice手动目录 2"/>
    <w:qFormat/>
    <w:uiPriority w:val="0"/>
    <w:pPr>
      <w:ind w:left="200" w:leftChars="200"/>
    </w:pPr>
    <w:rPr>
      <w:rFonts w:asciiTheme="minorHAnsi" w:hAnsiTheme="minorHAnsi" w:eastAsiaTheme="minorEastAsia" w:cstheme="minorBidi"/>
      <w:lang w:val="en-US" w:eastAsia="zh-CN" w:bidi="ar-SA"/>
    </w:rPr>
  </w:style>
  <w:style w:type="table" w:customStyle="1" w:styleId="28">
    <w:name w:val="网格型1"/>
    <w:basedOn w:val="14"/>
    <w:unhideWhenUsed/>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
    <w:name w:val="网格型2"/>
    <w:basedOn w:val="14"/>
    <w:unhideWhenUsed/>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
    <w:name w:val="网格型3"/>
    <w:basedOn w:val="14"/>
    <w:unhideWhenUsed/>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spPr>
      <a:bodyPr rot="0" spcFirstLastPara="0" vertOverflow="overflow" horzOverflow="overflow" vert="horz" wrap="square" lIns="0" tIns="0" rIns="0" bIns="0" numCol="1" spcCol="0" rtlCol="0" fromWordArt="false" anchor="t" anchorCtr="false" forceAA="false" compatLnSpc="true">
        <a:sp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46</Pages>
  <Words>9269</Words>
  <Characters>9827</Characters>
  <Lines>1446</Lines>
  <Paragraphs>1198</Paragraphs>
  <TotalTime>72</TotalTime>
  <ScaleCrop>false</ScaleCrop>
  <LinksUpToDate>false</LinksUpToDate>
  <CharactersWithSpaces>9922</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2026-08-09T04:32:00Z</dcterms:created>
  <dc:creator>lenovo</dc:creator>
  <cp:lastModifiedBy>kylin</cp:lastModifiedBy>
  <cp:lastPrinted>2026-01-26T11:43:00Z</cp:lastPrinted>
  <dcterms:modified xsi:type="dcterms:W3CDTF">2026-08-12T10:26:06Z</dcterms:modified>
  <cp:revision>1137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493286328_cloud</vt:lpwstr>
  </property>
  <property fmtid="{D5CDD505-2E9C-101B-9397-08002B2CF9AE}" pid="3" name="KSOProductBuildVer">
    <vt:lpwstr>2052-11.8.2.9958</vt:lpwstr>
  </property>
  <property fmtid="{D5CDD505-2E9C-101B-9397-08002B2CF9AE}" pid="4" name="ICV">
    <vt:lpwstr>0ACCFF93455B4191BB4536EE970A0428_13</vt:lpwstr>
  </property>
  <property fmtid="{D5CDD505-2E9C-101B-9397-08002B2CF9AE}" pid="5" name="KSOTemplateDocerSaveRecord">
    <vt:lpwstr>eyJoZGlkIjoiZjU4MjE5OWNlNDg4Y2E5ZmNjNzRiNDYwM2I0M2UyNzgiLCJ1c2VySWQiOiIzMDY2NjA5MjQifQ==</vt:lpwstr>
  </property>
</Properties>
</file>